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1"/>
          <w:rFonts w:hint="eastAsia" w:ascii="宋体" w:hAnsi="宋体" w:eastAsia="宋体" w:cs="宋体"/>
          <w:sz w:val="52"/>
          <w:szCs w:val="52"/>
          <w:highlight w:val="none"/>
          <w:lang w:val="en-US"/>
        </w:rPr>
      </w:pPr>
      <w:r>
        <w:rPr>
          <w:rStyle w:val="21"/>
          <w:rFonts w:hint="eastAsia" w:ascii="宋体" w:hAnsi="宋体" w:eastAsia="宋体" w:cs="宋体"/>
          <w:sz w:val="44"/>
          <w:szCs w:val="44"/>
          <w:highlight w:val="none"/>
          <w:lang w:val="en-US" w:eastAsia="zh-CN"/>
        </w:rPr>
        <w:t>青年路板块城市更新项目-杨桂塘菜市场水土保持监测</w:t>
      </w:r>
    </w:p>
    <w:p>
      <w:pPr>
        <w:pStyle w:val="3"/>
        <w:spacing w:before="120" w:beforeLines="0" w:line="360" w:lineRule="auto"/>
        <w:ind w:firstLine="0"/>
        <w:rPr>
          <w:rStyle w:val="21"/>
          <w:rFonts w:hint="eastAsia" w:ascii="宋体" w:hAnsi="宋体" w:eastAsia="宋体" w:cs="宋体"/>
          <w:sz w:val="52"/>
          <w:szCs w:val="52"/>
          <w:highlight w:val="none"/>
          <w:lang w:val="en-US"/>
        </w:rPr>
      </w:pPr>
      <w:r>
        <w:rPr>
          <w:rStyle w:val="21"/>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1"/>
          <w:rFonts w:hint="eastAsia" w:ascii="宋体" w:hAnsi="宋体" w:eastAsia="宋体" w:cs="宋体"/>
          <w:sz w:val="52"/>
          <w:szCs w:val="52"/>
          <w:highlight w:val="none"/>
          <w:lang w:val="en-US"/>
        </w:rPr>
      </w:pPr>
      <w:bookmarkStart w:id="0" w:name="_Toc2457"/>
      <w:r>
        <w:rPr>
          <w:rStyle w:val="21"/>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1"/>
          <w:rFonts w:hint="eastAsia" w:ascii="宋体" w:hAnsi="宋体" w:eastAsia="宋体" w:cs="宋体"/>
          <w:sz w:val="52"/>
          <w:szCs w:val="52"/>
          <w:highlight w:val="none"/>
        </w:rPr>
      </w:pPr>
      <w:r>
        <w:rPr>
          <w:rStyle w:val="21"/>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1"/>
          <w:rFonts w:hint="eastAsia" w:ascii="宋体" w:hAnsi="宋体" w:eastAsia="宋体" w:cs="宋体"/>
          <w:sz w:val="52"/>
          <w:szCs w:val="52"/>
          <w:highlight w:val="none"/>
        </w:rPr>
      </w:pPr>
      <w:r>
        <w:rPr>
          <w:rStyle w:val="21"/>
          <w:rFonts w:hint="eastAsia" w:ascii="宋体" w:hAnsi="宋体" w:eastAsia="宋体" w:cs="宋体"/>
          <w:sz w:val="52"/>
          <w:szCs w:val="52"/>
          <w:highlight w:val="none"/>
        </w:rPr>
        <w:t>件</w:t>
      </w:r>
    </w:p>
    <w:p>
      <w:pPr>
        <w:rPr>
          <w:rStyle w:val="21"/>
          <w:rFonts w:hint="eastAsia" w:ascii="宋体" w:hAnsi="宋体" w:cs="宋体"/>
          <w:sz w:val="44"/>
          <w:szCs w:val="44"/>
          <w:highlight w:val="none"/>
        </w:rPr>
      </w:pPr>
    </w:p>
    <w:p>
      <w:pPr>
        <w:pStyle w:val="7"/>
        <w:rPr>
          <w:rStyle w:val="21"/>
          <w:rFonts w:hint="eastAsia" w:ascii="宋体" w:hAnsi="宋体" w:cs="宋体"/>
          <w:sz w:val="44"/>
          <w:szCs w:val="44"/>
          <w:highlight w:val="none"/>
        </w:rPr>
      </w:pPr>
    </w:p>
    <w:p>
      <w:pPr>
        <w:rPr>
          <w:rStyle w:val="21"/>
          <w:rFonts w:hint="eastAsia" w:ascii="宋体" w:hAnsi="宋体" w:cs="宋体"/>
          <w:sz w:val="44"/>
          <w:szCs w:val="44"/>
          <w:highlight w:val="none"/>
        </w:rPr>
      </w:pPr>
    </w:p>
    <w:p>
      <w:pPr>
        <w:pStyle w:val="16"/>
        <w:ind w:firstLine="880"/>
        <w:rPr>
          <w:rStyle w:val="21"/>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r>
        <w:rPr>
          <w:rFonts w:hint="eastAsia" w:ascii="黑体" w:hAnsi="宋体" w:eastAsia="黑体"/>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12</w:t>
      </w:r>
      <w:r>
        <w:rPr>
          <w:rFonts w:hint="eastAsia" w:ascii="黑体" w:hAnsi="宋体" w:eastAsia="黑体"/>
          <w:sz w:val="32"/>
          <w:szCs w:val="32"/>
          <w:highlight w:val="none"/>
        </w:rPr>
        <w:t>月</w:t>
      </w:r>
    </w:p>
    <w:p>
      <w:pPr>
        <w:pStyle w:val="16"/>
        <w:rPr>
          <w:rFonts w:hint="eastAsia" w:ascii="宋体" w:hAnsi="宋体"/>
          <w:sz w:val="32"/>
          <w:szCs w:val="32"/>
          <w:highlight w:val="none"/>
        </w:rPr>
      </w:pPr>
    </w:p>
    <w:p>
      <w:pPr>
        <w:pStyle w:val="14"/>
        <w:rPr>
          <w:rFonts w:hint="eastAsia"/>
        </w:rPr>
      </w:pPr>
    </w:p>
    <w:p>
      <w:pPr>
        <w:pStyle w:val="3"/>
        <w:spacing w:before="120" w:beforeLines="0" w:line="360" w:lineRule="auto"/>
        <w:ind w:left="0" w:leftChars="0" w:firstLine="0" w:firstLineChars="0"/>
        <w:jc w:val="both"/>
        <w:rPr>
          <w:rStyle w:val="22"/>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Style w:val="22"/>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2"/>
          <w:rFonts w:hint="eastAsia" w:ascii="宋体" w:hAnsi="宋体" w:eastAsia="宋体" w:cs="宋体"/>
          <w:b/>
          <w:bCs/>
          <w:sz w:val="30"/>
          <w:szCs w:val="30"/>
          <w:highlight w:val="none"/>
          <w:lang w:val="en-US" w:eastAsia="zh-CN"/>
        </w:rPr>
        <w:t>第一章</w:t>
      </w:r>
      <w:bookmarkEnd w:id="0"/>
      <w:r>
        <w:rPr>
          <w:rStyle w:val="22"/>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cs="宋体"/>
          <w:sz w:val="24"/>
          <w:szCs w:val="24"/>
          <w:highlight w:val="none"/>
          <w:lang w:val="en-US" w:eastAsia="zh-CN"/>
        </w:rPr>
        <w:t>青年路板块城市更新项目-杨桂塘菜市场水土保持监测</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青年路板块城市更新项目-杨桂塘菜市场水土保持监测项目</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2.项目地点：项目位于</w:t>
      </w:r>
      <w:r>
        <w:rPr>
          <w:rFonts w:hint="eastAsia" w:ascii="宋体" w:hAnsi="宋体" w:cs="宋体"/>
          <w:sz w:val="24"/>
          <w:szCs w:val="24"/>
          <w:highlight w:val="none"/>
          <w:lang w:val="en-US" w:eastAsia="zh-CN"/>
        </w:rPr>
        <w:t>肥西县上派镇</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根据《中华人民共和国水土保持法》及《青年路板块城市更新项目-杨桂塘菜市场水土保持方案审批准予行政许可决定书》（肥水审批函〔2023〕110号）的要求，青年路板块城市更新项目-杨桂塘菜市场需进行水土保持监测工作</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招标范围：包括但不限于水土保持监测等工作 </w:t>
      </w:r>
    </w:p>
    <w:p>
      <w:pPr>
        <w:numPr>
          <w:ilvl w:val="0"/>
          <w:numId w:val="0"/>
        </w:numPr>
        <w:autoSpaceDE w:val="0"/>
        <w:autoSpaceDN w:val="0"/>
        <w:adjustRightInd w:val="0"/>
        <w:spacing w:line="360" w:lineRule="auto"/>
        <w:ind w:firstLine="480" w:firstLineChars="200"/>
        <w:jc w:val="left"/>
        <w:rPr>
          <w:rFonts w:hint="default"/>
          <w:highlight w:val="none"/>
          <w:lang w:val="en-US" w:eastAsia="zh-CN"/>
        </w:rPr>
      </w:pPr>
      <w:r>
        <w:rPr>
          <w:rFonts w:hint="eastAsia" w:ascii="宋体" w:hAnsi="宋体" w:cs="宋体"/>
          <w:sz w:val="24"/>
          <w:szCs w:val="24"/>
          <w:highlight w:val="none"/>
          <w:lang w:val="en-US" w:eastAsia="zh-CN"/>
        </w:rPr>
        <w:t>工期：项目总工期为</w:t>
      </w:r>
      <w:r>
        <w:rPr>
          <w:rFonts w:hint="eastAsia" w:ascii="宋体" w:hAnsi="宋体" w:cs="宋体"/>
          <w:color w:val="auto"/>
          <w:sz w:val="24"/>
          <w:szCs w:val="24"/>
          <w:highlight w:val="none"/>
          <w:lang w:val="en-US" w:eastAsia="zh-CN"/>
        </w:rPr>
        <w:t>30天</w:t>
      </w:r>
      <w:r>
        <w:rPr>
          <w:rFonts w:hint="eastAsia" w:ascii="宋体" w:hAnsi="宋体" w:eastAsia="宋体" w:cs="宋体"/>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default"/>
          <w:lang w:val="en-US" w:eastAsia="zh-CN"/>
        </w:rPr>
      </w:pPr>
      <w:r>
        <w:rPr>
          <w:rFonts w:hint="eastAsia" w:ascii="宋体" w:hAnsi="宋体" w:cs="宋体"/>
          <w:sz w:val="24"/>
          <w:szCs w:val="24"/>
          <w:highlight w:val="none"/>
        </w:rPr>
        <w:t>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6.项目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7.4万元（各单位报价不得超过本预算）</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7.项目类别</w:t>
      </w:r>
      <w:r>
        <w:rPr>
          <w:rFonts w:hint="eastAsia" w:ascii="宋体" w:hAnsi="宋体" w:cs="宋体"/>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1、具有独立承担民事责任的能力；</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2、具有有效的三证合一营业执照(或营业执照、组织机构代码证、税务登记证）</w:t>
      </w:r>
      <w:r>
        <w:rPr>
          <w:rFonts w:hint="eastAsia" w:ascii="宋体" w:hAnsi="宋体" w:cs="宋体"/>
          <w:sz w:val="24"/>
          <w:szCs w:val="24"/>
          <w:highlight w:val="none"/>
          <w:lang w:eastAsia="zh-CN"/>
        </w:rPr>
        <w:t>；</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3、资质</w:t>
      </w:r>
      <w:r>
        <w:rPr>
          <w:rFonts w:hint="eastAsia" w:ascii="宋体" w:hAnsi="宋体" w:cs="宋体"/>
          <w:sz w:val="24"/>
          <w:szCs w:val="24"/>
          <w:highlight w:val="none"/>
          <w:lang w:val="en-US" w:eastAsia="zh-CN"/>
        </w:rPr>
        <w:t>要求</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营业执照经营范围含水土流失防治服务；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2"/>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宋体" w:hAnsi="宋体" w:cs="宋体"/>
          <w:sz w:val="24"/>
          <w:szCs w:val="24"/>
          <w:highlight w:val="none"/>
          <w:lang w:val="en-US" w:eastAsia="zh-CN"/>
        </w:rPr>
        <w:t>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w:t>
      </w:r>
      <w:r>
        <w:rPr>
          <w:rFonts w:hint="eastAsia" w:ascii="宋体" w:hAnsi="宋体" w:eastAsia="宋体" w:cs="宋体"/>
          <w:color w:val="auto"/>
          <w:kern w:val="0"/>
          <w:sz w:val="24"/>
          <w:szCs w:val="24"/>
          <w:highlight w:val="none"/>
          <w:lang w:val="en-US" w:eastAsia="zh-CN"/>
        </w:rPr>
        <w:t>司。</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许工</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rPr>
          <w:rStyle w:val="22"/>
          <w:rFonts w:hint="eastAsia" w:ascii="宋体" w:hAnsi="宋体" w:eastAsia="宋体" w:cs="宋体"/>
          <w:b/>
          <w:bCs/>
          <w:sz w:val="30"/>
          <w:szCs w:val="30"/>
          <w:highlight w:val="none"/>
          <w:lang w:val="en-US" w:eastAsia="zh-CN"/>
        </w:rPr>
      </w:pPr>
      <w:r>
        <w:rPr>
          <w:rFonts w:hint="eastAsia" w:ascii="宋体" w:hAnsi="宋体" w:eastAsia="宋体" w:cs="宋体"/>
          <w:color w:val="auto"/>
          <w:kern w:val="0"/>
          <w:sz w:val="24"/>
          <w:szCs w:val="24"/>
          <w:highlight w:val="none"/>
          <w:lang w:val="en-US" w:eastAsia="zh-CN"/>
        </w:rPr>
        <w:br w:type="page"/>
      </w:r>
      <w:bookmarkStart w:id="1" w:name="_Toc220232390"/>
      <w:bookmarkStart w:id="2" w:name="_Toc20903"/>
    </w:p>
    <w:p>
      <w:pPr>
        <w:pStyle w:val="3"/>
        <w:pageBreakBefore w:val="0"/>
        <w:widowControl w:val="0"/>
        <w:kinsoku/>
        <w:wordWrap/>
        <w:overflowPunct/>
        <w:topLinePunct w:val="0"/>
        <w:bidi w:val="0"/>
        <w:spacing w:line="360" w:lineRule="auto"/>
        <w:ind w:firstLine="0"/>
        <w:jc w:val="center"/>
        <w:textAlignment w:val="auto"/>
        <w:rPr>
          <w:rStyle w:val="22"/>
          <w:rFonts w:hint="eastAsia" w:ascii="宋体" w:hAnsi="宋体" w:eastAsia="宋体" w:cs="宋体"/>
          <w:b/>
          <w:bCs/>
          <w:sz w:val="30"/>
          <w:szCs w:val="30"/>
          <w:highlight w:val="none"/>
          <w:lang w:val="en-US" w:eastAsia="zh-CN"/>
        </w:rPr>
      </w:pPr>
    </w:p>
    <w:p>
      <w:pPr>
        <w:pStyle w:val="3"/>
        <w:pageBreakBefore w:val="0"/>
        <w:widowControl w:val="0"/>
        <w:kinsoku/>
        <w:wordWrap/>
        <w:overflowPunct/>
        <w:topLinePunct w:val="0"/>
        <w:bidi w:val="0"/>
        <w:spacing w:line="360" w:lineRule="auto"/>
        <w:ind w:firstLine="0"/>
        <w:jc w:val="center"/>
        <w:textAlignment w:val="auto"/>
        <w:rPr>
          <w:rStyle w:val="22"/>
          <w:rFonts w:hint="eastAsia" w:ascii="宋体" w:hAnsi="宋体" w:eastAsia="宋体" w:cs="宋体"/>
          <w:b w:val="0"/>
          <w:bCs w:val="0"/>
          <w:sz w:val="28"/>
          <w:szCs w:val="28"/>
          <w:highlight w:val="none"/>
        </w:rPr>
      </w:pPr>
      <w:r>
        <w:rPr>
          <w:rStyle w:val="22"/>
          <w:rFonts w:hint="eastAsia" w:ascii="宋体" w:hAnsi="宋体" w:eastAsia="宋体" w:cs="宋体"/>
          <w:b/>
          <w:bCs/>
          <w:sz w:val="30"/>
          <w:szCs w:val="30"/>
          <w:highlight w:val="none"/>
          <w:lang w:val="en-US" w:eastAsia="zh-CN"/>
        </w:rPr>
        <w:t xml:space="preserve">第二章 </w:t>
      </w:r>
      <w:bookmarkEnd w:id="1"/>
      <w:r>
        <w:rPr>
          <w:rStyle w:val="22"/>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numPr>
          <w:ilvl w:val="0"/>
          <w:numId w:val="0"/>
        </w:numPr>
        <w:autoSpaceDE w:val="0"/>
        <w:autoSpaceDN w:val="0"/>
        <w:adjustRightIn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Theme="minorEastAsia" w:hAnsiTheme="minorEastAsia" w:eastAsiaTheme="minorEastAsia" w:cstheme="minorEastAsia"/>
          <w:kern w:val="0"/>
          <w:sz w:val="24"/>
          <w:szCs w:val="24"/>
          <w:highlight w:val="none"/>
          <w:lang w:val="en-US" w:eastAsia="zh-CN"/>
        </w:rPr>
        <w:t>青年路板块城市更新项目-杨桂塘菜市场水土保持监测</w:t>
      </w:r>
      <w:r>
        <w:rPr>
          <w:rFonts w:hint="eastAsia" w:ascii="宋体" w:hAnsi="宋体" w:cs="宋体"/>
          <w:sz w:val="24"/>
          <w:szCs w:val="24"/>
          <w:highlight w:val="none"/>
          <w:lang w:val="en-US" w:eastAsia="zh-CN"/>
        </w:rPr>
        <w:t>，项目总工期为30天</w:t>
      </w:r>
      <w:r>
        <w:rPr>
          <w:rFonts w:hint="eastAsia" w:ascii="宋体" w:hAnsi="宋体" w:eastAsia="宋体" w:cs="宋体"/>
          <w:sz w:val="24"/>
          <w:szCs w:val="24"/>
          <w:highlight w:val="none"/>
          <w:lang w:val="en-US" w:eastAsia="zh-CN"/>
        </w:rPr>
        <w:t>。</w:t>
      </w:r>
    </w:p>
    <w:p>
      <w:pPr>
        <w:pageBreakBefore w:val="0"/>
        <w:widowControl w:val="0"/>
        <w:numPr>
          <w:ilvl w:val="0"/>
          <w:numId w:val="0"/>
        </w:numPr>
        <w:kinsoku/>
        <w:wordWrap/>
        <w:overflowPunct/>
        <w:topLinePunct w:val="0"/>
        <w:autoSpaceDE w:val="0"/>
        <w:autoSpaceDN w:val="0"/>
        <w:bidi w:val="0"/>
        <w:snapToGrid/>
        <w:spacing w:line="360" w:lineRule="auto"/>
        <w:ind w:firstLine="482" w:firstLineChars="200"/>
        <w:textAlignment w:val="auto"/>
        <w:rPr>
          <w:rFonts w:hint="default"/>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付款方式：待水保总监测报告上传“全国水土保持信息管理系统 (监督管理相关单位专用版)”并可查询后15个工作日内付清。</w:t>
      </w:r>
    </w:p>
    <w:p>
      <w:pPr>
        <w:pageBreakBefore w:val="0"/>
        <w:widowControl w:val="0"/>
        <w:numPr>
          <w:ilvl w:val="0"/>
          <w:numId w:val="3"/>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1"/>
          <w:rFonts w:hint="eastAsia" w:ascii="宋体" w:hAnsi="宋体" w:eastAsia="宋体"/>
          <w:b w:val="0"/>
          <w:bCs/>
          <w:i w:val="0"/>
          <w:caps w:val="0"/>
          <w:color w:val="000000"/>
          <w:spacing w:val="0"/>
          <w:w w:val="100"/>
          <w:kern w:val="0"/>
          <w:sz w:val="24"/>
          <w:szCs w:val="24"/>
          <w:highlight w:val="none"/>
          <w:lang w:val="en-US" w:eastAsia="zh-CN" w:bidi="ar-SA"/>
        </w:rPr>
      </w:pPr>
      <w:r>
        <w:rPr>
          <w:rStyle w:val="21"/>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1"/>
          <w:rFonts w:hint="eastAsia" w:ascii="宋体" w:hAnsi="宋体"/>
          <w:b w:val="0"/>
          <w:i w:val="0"/>
          <w:caps w:val="0"/>
          <w:color w:val="000000"/>
          <w:spacing w:val="0"/>
          <w:w w:val="100"/>
          <w:kern w:val="0"/>
          <w:sz w:val="24"/>
          <w:szCs w:val="24"/>
          <w:highlight w:val="none"/>
          <w:lang w:val="en-US" w:eastAsia="zh-CN" w:bidi="ar-SA"/>
        </w:rPr>
        <w:t>盖章的</w:t>
      </w:r>
      <w:r>
        <w:rPr>
          <w:rStyle w:val="21"/>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1"/>
          <w:rFonts w:hint="eastAsia" w:ascii="宋体" w:hAnsi="宋体" w:eastAsia="宋体"/>
          <w:b w:val="0"/>
          <w:bCs/>
          <w:i w:val="0"/>
          <w:caps w:val="0"/>
          <w:color w:val="000000"/>
          <w:spacing w:val="0"/>
          <w:w w:val="100"/>
          <w:kern w:val="0"/>
          <w:sz w:val="24"/>
          <w:szCs w:val="24"/>
          <w:highlight w:val="none"/>
          <w:lang w:val="en-US" w:eastAsia="zh-CN" w:bidi="ar-SA"/>
        </w:rPr>
        <w:t>：</w:t>
      </w:r>
      <w:r>
        <w:rPr>
          <w:rStyle w:val="21"/>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1"/>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1"/>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1"/>
          <w:rFonts w:hint="eastAsia" w:ascii="宋体" w:hAnsi="宋体" w:eastAsia="宋体"/>
          <w:b w:val="0"/>
          <w:bCs/>
          <w:i w:val="0"/>
          <w:caps w:val="0"/>
          <w:color w:val="000000"/>
          <w:spacing w:val="0"/>
          <w:w w:val="100"/>
          <w:kern w:val="0"/>
          <w:sz w:val="24"/>
          <w:szCs w:val="24"/>
          <w:highlight w:val="none"/>
          <w:lang w:val="en-US" w:eastAsia="zh-CN" w:bidi="ar-SA"/>
        </w:rPr>
        <w:t>fxxshwlzcb@163.com</w:t>
      </w:r>
      <w:r>
        <w:rPr>
          <w:rStyle w:val="21"/>
          <w:rFonts w:hint="eastAsia" w:ascii="宋体" w:hAnsi="宋体"/>
          <w:b w:val="0"/>
          <w:bCs/>
          <w:i w:val="0"/>
          <w:caps w:val="0"/>
          <w:color w:val="000000"/>
          <w:spacing w:val="0"/>
          <w:w w:val="100"/>
          <w:kern w:val="0"/>
          <w:sz w:val="24"/>
          <w:szCs w:val="24"/>
          <w:highlight w:val="none"/>
          <w:lang w:val="en-US" w:eastAsia="zh-CN" w:bidi="ar-SA"/>
        </w:rPr>
        <w:t>，</w:t>
      </w:r>
      <w:r>
        <w:rPr>
          <w:rStyle w:val="21"/>
          <w:rFonts w:hint="eastAsia" w:ascii="宋体" w:hAnsi="宋体" w:eastAsia="宋体"/>
          <w:b w:val="0"/>
          <w:i w:val="0"/>
          <w:caps w:val="0"/>
          <w:color w:val="000000"/>
          <w:spacing w:val="0"/>
          <w:w w:val="100"/>
          <w:kern w:val="0"/>
          <w:sz w:val="24"/>
          <w:szCs w:val="24"/>
          <w:highlight w:val="none"/>
          <w:lang w:val="en-US" w:eastAsia="zh-CN" w:bidi="ar-SA"/>
        </w:rPr>
        <w:t>邮件名请用“</w:t>
      </w:r>
      <w:r>
        <w:rPr>
          <w:rStyle w:val="21"/>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1"/>
          <w:rFonts w:hint="eastAsia" w:ascii="宋体" w:hAnsi="宋体" w:eastAsia="宋体"/>
          <w:b w:val="0"/>
          <w:i w:val="0"/>
          <w:caps w:val="0"/>
          <w:color w:val="000000"/>
          <w:spacing w:val="0"/>
          <w:w w:val="100"/>
          <w:kern w:val="0"/>
          <w:sz w:val="24"/>
          <w:szCs w:val="24"/>
          <w:highlight w:val="none"/>
          <w:lang w:val="en-US" w:eastAsia="zh-CN" w:bidi="ar-SA"/>
        </w:rPr>
        <w:t>”来命名</w:t>
      </w:r>
      <w:bookmarkStart w:id="38" w:name="_GoBack"/>
      <w:bookmarkEnd w:id="38"/>
      <w:r>
        <w:rPr>
          <w:rStyle w:val="21"/>
          <w:rFonts w:hint="eastAsia" w:ascii="宋体" w:hAnsi="宋体" w:eastAsia="宋体"/>
          <w:b w:val="0"/>
          <w:bCs/>
          <w:i w:val="0"/>
          <w:caps w:val="0"/>
          <w:color w:val="000000"/>
          <w:spacing w:val="0"/>
          <w:w w:val="100"/>
          <w:kern w:val="0"/>
          <w:sz w:val="24"/>
          <w:szCs w:val="24"/>
          <w:highlight w:val="none"/>
          <w:lang w:val="en-US" w:eastAsia="zh-CN" w:bidi="ar-SA"/>
        </w:rPr>
        <w:t>。参审文件的文件名请用“各</w:t>
      </w:r>
      <w:r>
        <w:rPr>
          <w:rStyle w:val="21"/>
          <w:rFonts w:hint="eastAsia" w:ascii="宋体" w:hAnsi="宋体"/>
          <w:b w:val="0"/>
          <w:bCs/>
          <w:i w:val="0"/>
          <w:caps w:val="0"/>
          <w:color w:val="000000"/>
          <w:spacing w:val="0"/>
          <w:w w:val="100"/>
          <w:kern w:val="0"/>
          <w:sz w:val="24"/>
          <w:szCs w:val="24"/>
          <w:highlight w:val="none"/>
          <w:lang w:val="en-US" w:eastAsia="zh-CN" w:bidi="ar-SA"/>
        </w:rPr>
        <w:t>参审单位</w:t>
      </w:r>
      <w:r>
        <w:rPr>
          <w:rStyle w:val="21"/>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1"/>
          <w:rFonts w:hint="eastAsia" w:ascii="宋体" w:hAnsi="宋体"/>
          <w:b/>
          <w:bCs w:val="0"/>
          <w:i w:val="0"/>
          <w:caps w:val="0"/>
          <w:color w:val="auto"/>
          <w:spacing w:val="0"/>
          <w:w w:val="100"/>
          <w:kern w:val="0"/>
          <w:sz w:val="24"/>
          <w:szCs w:val="24"/>
          <w:highlight w:val="none"/>
          <w:u w:val="none"/>
          <w:lang w:val="en-US" w:eastAsia="zh-CN" w:bidi="ar-SA"/>
        </w:rPr>
      </w:pPr>
      <w:r>
        <w:rPr>
          <w:rStyle w:val="21"/>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1"/>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Fonts w:hint="eastAsia" w:asciiTheme="minorEastAsia" w:hAnsiTheme="minorEastAsia" w:eastAsiaTheme="minorEastAsia" w:cstheme="minorEastAsia"/>
          <w:b w:val="0"/>
          <w:bCs w:val="0"/>
          <w:kern w:val="2"/>
          <w:sz w:val="24"/>
          <w:szCs w:val="24"/>
          <w:highlight w:val="none"/>
          <w:lang w:val="en-US" w:eastAsia="zh-CN" w:bidi="ar-SA"/>
        </w:rPr>
        <w:t>2023年12月12日-2023年12月14日15:00。</w:t>
      </w:r>
      <w:r>
        <w:rPr>
          <w:rStyle w:val="21"/>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rPr>
          <w:rStyle w:val="22"/>
          <w:rFonts w:hint="eastAsia" w:ascii="宋体" w:hAnsi="宋体" w:eastAsia="宋体" w:cs="宋体"/>
          <w:b/>
          <w:bCs/>
          <w:sz w:val="28"/>
          <w:szCs w:val="28"/>
          <w:highlight w:val="none"/>
          <w:lang w:val="en-US" w:eastAsia="zh-CN"/>
        </w:rPr>
      </w:pPr>
      <w:r>
        <w:rPr>
          <w:rStyle w:val="21"/>
          <w:rFonts w:hint="eastAsia" w:ascii="宋体" w:hAnsi="宋体"/>
          <w:b/>
          <w:bCs w:val="0"/>
          <w:i w:val="0"/>
          <w:caps w:val="0"/>
          <w:color w:val="auto"/>
          <w:spacing w:val="0"/>
          <w:w w:val="100"/>
          <w:kern w:val="0"/>
          <w:sz w:val="24"/>
          <w:szCs w:val="24"/>
          <w:highlight w:val="none"/>
          <w:u w:val="none"/>
          <w:lang w:val="en-US" w:eastAsia="zh-CN" w:bidi="ar-SA"/>
        </w:rPr>
        <w:br w:type="page"/>
      </w:r>
    </w:p>
    <w:p>
      <w:pPr>
        <w:pStyle w:val="3"/>
        <w:spacing w:line="500" w:lineRule="exact"/>
        <w:ind w:firstLine="0"/>
        <w:rPr>
          <w:rFonts w:hint="eastAsia" w:ascii="宋体" w:hAnsi="宋体" w:eastAsia="宋体" w:cs="宋体"/>
          <w:sz w:val="28"/>
          <w:szCs w:val="28"/>
          <w:highlight w:val="none"/>
        </w:rPr>
      </w:pPr>
      <w:r>
        <w:rPr>
          <w:rStyle w:val="22"/>
          <w:rFonts w:hint="eastAsia" w:ascii="宋体" w:hAnsi="宋体" w:eastAsia="宋体" w:cs="宋体"/>
          <w:b/>
          <w:bCs/>
          <w:sz w:val="28"/>
          <w:szCs w:val="28"/>
          <w:highlight w:val="none"/>
          <w:lang w:val="en-US" w:eastAsia="zh-CN"/>
        </w:rPr>
        <w:t>第三章 资审</w:t>
      </w:r>
      <w:bookmarkEnd w:id="3"/>
      <w:r>
        <w:rPr>
          <w:rStyle w:val="22"/>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sz w:val="24"/>
          <w:szCs w:val="24"/>
          <w:highlight w:val="none"/>
          <w:lang w:val="en-US" w:eastAsia="zh-CN"/>
        </w:rPr>
      </w:pPr>
      <w:r>
        <w:rPr>
          <w:rFonts w:hint="eastAsia" w:hAnsi="宋体" w:cs="宋体"/>
          <w:bCs/>
          <w:sz w:val="24"/>
          <w:szCs w:val="24"/>
          <w:highlight w:val="none"/>
          <w:lang w:val="en-US" w:eastAsia="zh-CN"/>
        </w:rPr>
        <w:t>3、本项目采用综合评估法，以固定总价（本项目定价7.4万元）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3"/>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3"/>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keepNext/>
        <w:keepLines/>
        <w:spacing w:before="120" w:after="120" w:line="360" w:lineRule="auto"/>
        <w:jc w:val="both"/>
        <w:outlineLvl w:val="2"/>
        <w:rPr>
          <w:rFonts w:hint="eastAsia" w:ascii="Times New Roman" w:hAnsi="Times New Roman" w:eastAsia="黑体"/>
          <w:bCs/>
          <w:sz w:val="24"/>
          <w:szCs w:val="24"/>
          <w:highlight w:val="none"/>
          <w:lang w:val="en-US" w:eastAsia="zh-CN"/>
        </w:rPr>
      </w:pPr>
      <w:r>
        <w:rPr>
          <w:rFonts w:hint="eastAsia" w:ascii="Times New Roman" w:hAnsi="Times New Roman" w:eastAsia="黑体"/>
          <w:bCs/>
          <w:sz w:val="24"/>
          <w:szCs w:val="24"/>
          <w:highlight w:val="none"/>
          <w:lang w:val="en-US" w:eastAsia="zh-CN"/>
        </w:rPr>
        <w:t>5、对通过初审的单位进行详细评审</w:t>
      </w:r>
    </w:p>
    <w:tbl>
      <w:tblPr>
        <w:tblStyle w:val="1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09"/>
        <w:gridCol w:w="1311"/>
        <w:gridCol w:w="737"/>
        <w:gridCol w:w="6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评审因素</w:t>
            </w:r>
          </w:p>
        </w:tc>
        <w:tc>
          <w:tcPr>
            <w:tcW w:w="4292" w:type="pct"/>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jc w:val="center"/>
        </w:trPr>
        <w:tc>
          <w:tcPr>
            <w:tcW w:w="707" w:type="pct"/>
            <w:vMerge w:val="restart"/>
            <w:tcBorders>
              <w:top w:val="single" w:color="auto" w:sz="4" w:space="0"/>
              <w:right w:val="single" w:color="auto" w:sz="4" w:space="0"/>
            </w:tcBorders>
            <w:vAlign w:val="center"/>
          </w:tcPr>
          <w:p>
            <w:pPr>
              <w:spacing w:line="360" w:lineRule="auto"/>
              <w:jc w:val="center"/>
              <w:rPr>
                <w:rFonts w:ascii="仿宋" w:hAnsi="仿宋" w:eastAsia="仿宋"/>
                <w:szCs w:val="21"/>
              </w:rPr>
            </w:pPr>
            <w:r>
              <w:rPr>
                <w:rFonts w:hint="eastAsia"/>
                <w:kern w:val="0"/>
                <w:szCs w:val="21"/>
              </w:rPr>
              <w:t>商务评分标准3</w:t>
            </w:r>
            <w:r>
              <w:rPr>
                <w:kern w:val="0"/>
                <w:szCs w:val="21"/>
              </w:rPr>
              <w:t>0</w:t>
            </w:r>
            <w:r>
              <w:rPr>
                <w:rFonts w:hint="eastAsia"/>
                <w:kern w:val="0"/>
                <w:szCs w:val="21"/>
              </w:rPr>
              <w:t>分</w:t>
            </w:r>
          </w:p>
        </w:tc>
        <w:tc>
          <w:tcPr>
            <w:tcW w:w="6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Cs w:val="21"/>
              </w:rPr>
            </w:pPr>
            <w:r>
              <w:rPr>
                <w:rFonts w:hint="eastAsia" w:ascii="宋体" w:hAnsi="宋体"/>
                <w:bCs/>
                <w:szCs w:val="21"/>
              </w:rPr>
              <w:t>参审单位业绩</w:t>
            </w:r>
          </w:p>
        </w:tc>
        <w:tc>
          <w:tcPr>
            <w:tcW w:w="370" w:type="pc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lang w:val="en-US" w:eastAsia="zh-CN"/>
              </w:rPr>
              <w:t>20</w:t>
            </w:r>
            <w:r>
              <w:rPr>
                <w:rFonts w:hint="eastAsia"/>
                <w:szCs w:val="21"/>
              </w:rPr>
              <w:t>分</w:t>
            </w:r>
          </w:p>
        </w:tc>
        <w:tc>
          <w:tcPr>
            <w:tcW w:w="3263" w:type="pct"/>
            <w:tcBorders>
              <w:top w:val="single" w:color="auto" w:sz="4" w:space="0"/>
              <w:left w:val="single" w:color="auto" w:sz="4" w:space="0"/>
              <w:bottom w:val="single" w:color="auto" w:sz="4" w:space="0"/>
              <w:right w:val="single" w:color="auto" w:sz="4" w:space="0"/>
            </w:tcBorders>
            <w:vAlign w:val="center"/>
          </w:tcPr>
          <w:p>
            <w:pPr>
              <w:rPr>
                <w:sz w:val="22"/>
                <w:szCs w:val="21"/>
              </w:rPr>
            </w:pPr>
            <w:r>
              <w:rPr>
                <w:rFonts w:hint="eastAsia"/>
                <w:sz w:val="22"/>
                <w:szCs w:val="21"/>
              </w:rPr>
              <w:t>自201</w:t>
            </w:r>
            <w:r>
              <w:rPr>
                <w:rFonts w:hint="eastAsia"/>
                <w:sz w:val="22"/>
                <w:szCs w:val="21"/>
                <w:lang w:val="en-US" w:eastAsia="zh-CN"/>
              </w:rPr>
              <w:t>8</w:t>
            </w:r>
            <w:r>
              <w:rPr>
                <w:rFonts w:hint="eastAsia"/>
                <w:sz w:val="22"/>
                <w:szCs w:val="21"/>
              </w:rPr>
              <w:t>年1月1日以来(以合同签订时间为准),投标人具有：</w:t>
            </w:r>
          </w:p>
          <w:p>
            <w:pPr>
              <w:rPr>
                <w:sz w:val="22"/>
                <w:szCs w:val="21"/>
              </w:rPr>
            </w:pPr>
            <w:r>
              <w:rPr>
                <w:rFonts w:hint="eastAsia"/>
                <w:sz w:val="22"/>
                <w:szCs w:val="21"/>
              </w:rPr>
              <w:t>水土保持监测业绩的，每提供一个得</w:t>
            </w:r>
            <w:r>
              <w:rPr>
                <w:sz w:val="22"/>
                <w:szCs w:val="21"/>
              </w:rPr>
              <w:t>10</w:t>
            </w:r>
            <w:r>
              <w:rPr>
                <w:rFonts w:hint="eastAsia"/>
                <w:sz w:val="22"/>
                <w:szCs w:val="21"/>
              </w:rPr>
              <w:t>分，最多得</w:t>
            </w:r>
            <w:r>
              <w:rPr>
                <w:sz w:val="22"/>
                <w:szCs w:val="21"/>
              </w:rPr>
              <w:t>20</w:t>
            </w:r>
            <w:r>
              <w:rPr>
                <w:rFonts w:hint="eastAsia"/>
                <w:sz w:val="22"/>
                <w:szCs w:val="21"/>
              </w:rPr>
              <w:t>分。</w:t>
            </w:r>
          </w:p>
          <w:p>
            <w:pPr>
              <w:jc w:val="left"/>
              <w:textAlignment w:val="baseline"/>
              <w:rPr>
                <w:sz w:val="22"/>
                <w:szCs w:val="21"/>
                <w:highlight w:val="yellow"/>
              </w:rPr>
            </w:pPr>
            <w:r>
              <w:rPr>
                <w:rFonts w:hint="eastAsia" w:ascii="宋体" w:hAnsi="宋体"/>
                <w:sz w:val="22"/>
                <w:szCs w:val="22"/>
                <w:highlight w:val="none"/>
                <w:lang w:val="en-US" w:eastAsia="zh-CN"/>
              </w:rPr>
              <w:t>备注：</w:t>
            </w:r>
            <w:r>
              <w:rPr>
                <w:rFonts w:hint="eastAsia" w:hAnsi="宋体"/>
                <w:kern w:val="0"/>
                <w:sz w:val="22"/>
                <w:szCs w:val="22"/>
                <w:highlight w:val="none"/>
              </w:rPr>
              <w:t>（注：本项中涉及的项目指201</w:t>
            </w:r>
            <w:r>
              <w:rPr>
                <w:rFonts w:hint="eastAsia" w:hAnsi="宋体"/>
                <w:kern w:val="0"/>
                <w:sz w:val="22"/>
                <w:szCs w:val="22"/>
                <w:highlight w:val="none"/>
                <w:lang w:val="en-US" w:eastAsia="zh-CN"/>
              </w:rPr>
              <w:t>8</w:t>
            </w:r>
            <w:r>
              <w:rPr>
                <w:rFonts w:hint="eastAsia" w:hAnsi="宋体"/>
                <w:kern w:val="0"/>
                <w:sz w:val="22"/>
                <w:szCs w:val="22"/>
                <w:highlight w:val="none"/>
              </w:rPr>
              <w:t>年1月1日至今，以合同签订日期为准，要求提供合同关键页扫描件作为业绩证明资料，无证明资料或专家无法判断是否得分的业绩，一律作不得分处理。）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9"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bCs/>
                <w:szCs w:val="21"/>
                <w:lang w:val="en-US" w:eastAsia="zh-CN"/>
              </w:rPr>
            </w:pPr>
            <w:r>
              <w:rPr>
                <w:rFonts w:hint="eastAsia" w:ascii="宋体" w:hAnsi="宋体"/>
                <w:bCs/>
                <w:szCs w:val="21"/>
                <w:lang w:val="en-US" w:eastAsia="zh-CN"/>
              </w:rPr>
              <w:t>人员证书</w:t>
            </w:r>
          </w:p>
        </w:tc>
        <w:tc>
          <w:tcPr>
            <w:tcW w:w="370"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lang w:val="en-US" w:eastAsia="zh-CN"/>
              </w:rPr>
              <w:t>10</w:t>
            </w:r>
            <w:r>
              <w:rPr>
                <w:rFonts w:hint="eastAsia" w:ascii="宋体" w:hAnsi="宋体"/>
                <w:szCs w:val="21"/>
              </w:rPr>
              <w:t>分</w:t>
            </w:r>
          </w:p>
        </w:tc>
        <w:tc>
          <w:tcPr>
            <w:tcW w:w="326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2"/>
                <w:szCs w:val="21"/>
                <w:lang w:eastAsia="zh-CN"/>
              </w:rPr>
            </w:pPr>
            <w:r>
              <w:rPr>
                <w:rFonts w:hint="eastAsia" w:ascii="宋体" w:hAnsi="宋体" w:cs="宋体"/>
                <w:sz w:val="22"/>
                <w:szCs w:val="21"/>
                <w:lang w:val="en-US" w:eastAsia="zh-CN"/>
              </w:rPr>
              <w:t>拟派</w:t>
            </w:r>
            <w:r>
              <w:rPr>
                <w:rFonts w:hint="eastAsia" w:ascii="宋体" w:hAnsi="宋体" w:eastAsia="宋体" w:cs="宋体"/>
                <w:sz w:val="22"/>
                <w:szCs w:val="21"/>
              </w:rPr>
              <w:t>项目负责人具有</w:t>
            </w:r>
            <w:r>
              <w:rPr>
                <w:rFonts w:hint="eastAsia" w:ascii="宋体" w:hAnsi="宋体" w:eastAsia="宋体" w:cs="宋体"/>
                <w:sz w:val="22"/>
                <w:szCs w:val="21"/>
                <w:lang w:eastAsia="zh-CN"/>
              </w:rPr>
              <w:t>：</w:t>
            </w:r>
          </w:p>
          <w:p>
            <w:pPr>
              <w:widowControl/>
              <w:spacing w:line="360" w:lineRule="auto"/>
              <w:jc w:val="left"/>
              <w:rPr>
                <w:rFonts w:hint="eastAsia" w:ascii="宋体" w:hAnsi="宋体" w:eastAsia="宋体" w:cs="宋体"/>
                <w:sz w:val="22"/>
                <w:szCs w:val="21"/>
              </w:rPr>
            </w:pPr>
            <w:r>
              <w:rPr>
                <w:rFonts w:hint="eastAsia" w:ascii="宋体" w:hAnsi="宋体" w:eastAsia="宋体" w:cs="宋体"/>
                <w:sz w:val="22"/>
                <w:szCs w:val="21"/>
                <w:lang w:eastAsia="zh-CN"/>
              </w:rPr>
              <w:t>（</w:t>
            </w:r>
            <w:r>
              <w:rPr>
                <w:rFonts w:hint="eastAsia" w:ascii="宋体" w:hAnsi="宋体" w:eastAsia="宋体" w:cs="宋体"/>
                <w:sz w:val="22"/>
                <w:szCs w:val="21"/>
                <w:lang w:val="en-US" w:eastAsia="zh-CN"/>
              </w:rPr>
              <w:t>1</w:t>
            </w:r>
            <w:r>
              <w:rPr>
                <w:rFonts w:hint="eastAsia" w:ascii="宋体" w:hAnsi="宋体" w:eastAsia="宋体" w:cs="宋体"/>
                <w:sz w:val="22"/>
                <w:szCs w:val="21"/>
                <w:lang w:eastAsia="zh-CN"/>
              </w:rPr>
              <w:t>）</w:t>
            </w:r>
            <w:r>
              <w:rPr>
                <w:rFonts w:hint="eastAsia" w:ascii="宋体" w:hAnsi="宋体" w:eastAsia="宋体" w:cs="宋体"/>
                <w:sz w:val="22"/>
                <w:szCs w:val="21"/>
              </w:rPr>
              <w:t>水土保持(或水利水电工程或环境工程或给排水工程)相关专业本科及以上学历的，得</w:t>
            </w:r>
            <w:r>
              <w:rPr>
                <w:rFonts w:hint="eastAsia" w:ascii="宋体" w:hAnsi="宋体" w:eastAsia="宋体" w:cs="宋体"/>
                <w:sz w:val="22"/>
                <w:szCs w:val="21"/>
                <w:lang w:val="en-US" w:eastAsia="zh-CN"/>
              </w:rPr>
              <w:t>5</w:t>
            </w:r>
            <w:r>
              <w:rPr>
                <w:rFonts w:hint="eastAsia" w:ascii="宋体" w:hAnsi="宋体" w:eastAsia="宋体" w:cs="宋体"/>
                <w:sz w:val="22"/>
                <w:szCs w:val="21"/>
              </w:rPr>
              <w:t>分。</w:t>
            </w:r>
          </w:p>
          <w:p>
            <w:pPr>
              <w:widowControl/>
              <w:spacing w:line="360" w:lineRule="auto"/>
              <w:jc w:val="left"/>
              <w:rPr>
                <w:rFonts w:hint="eastAsia" w:ascii="宋体" w:hAnsi="宋体" w:eastAsia="宋体" w:cs="宋体"/>
                <w:sz w:val="22"/>
                <w:szCs w:val="21"/>
              </w:rPr>
            </w:pPr>
            <w:r>
              <w:rPr>
                <w:rFonts w:hint="eastAsia" w:ascii="宋体" w:hAnsi="宋体" w:eastAsia="宋体" w:cs="宋体"/>
                <w:sz w:val="22"/>
                <w:szCs w:val="21"/>
                <w:lang w:eastAsia="zh-CN"/>
              </w:rPr>
              <w:t>（</w:t>
            </w:r>
            <w:r>
              <w:rPr>
                <w:rFonts w:hint="eastAsia" w:ascii="宋体" w:hAnsi="宋体" w:eastAsia="宋体" w:cs="宋体"/>
                <w:sz w:val="22"/>
                <w:szCs w:val="21"/>
                <w:lang w:val="en-US" w:eastAsia="zh-CN"/>
              </w:rPr>
              <w:t>2</w:t>
            </w:r>
            <w:r>
              <w:rPr>
                <w:rFonts w:hint="eastAsia" w:ascii="宋体" w:hAnsi="宋体" w:eastAsia="宋体" w:cs="宋体"/>
                <w:sz w:val="22"/>
                <w:szCs w:val="21"/>
                <w:lang w:eastAsia="zh-CN"/>
              </w:rPr>
              <w:t>）</w:t>
            </w:r>
            <w:r>
              <w:rPr>
                <w:rFonts w:hint="eastAsia" w:ascii="宋体" w:hAnsi="宋体" w:eastAsia="宋体" w:cs="宋体"/>
                <w:sz w:val="22"/>
                <w:szCs w:val="21"/>
              </w:rPr>
              <w:t>具有水土保持(或水利水电工程或环境工程或给排水)相关专业高级及以上职称证书的，得</w:t>
            </w:r>
            <w:r>
              <w:rPr>
                <w:rFonts w:hint="eastAsia" w:ascii="宋体" w:hAnsi="宋体" w:eastAsia="宋体" w:cs="宋体"/>
                <w:sz w:val="22"/>
                <w:szCs w:val="21"/>
                <w:lang w:val="en-US" w:eastAsia="zh-CN"/>
              </w:rPr>
              <w:t>5</w:t>
            </w:r>
            <w:r>
              <w:rPr>
                <w:rFonts w:hint="eastAsia" w:ascii="宋体" w:hAnsi="宋体" w:eastAsia="宋体" w:cs="宋体"/>
                <w:sz w:val="22"/>
                <w:szCs w:val="21"/>
              </w:rPr>
              <w:t>分。</w:t>
            </w:r>
          </w:p>
          <w:p>
            <w:pPr>
              <w:widowControl/>
              <w:spacing w:line="360" w:lineRule="auto"/>
              <w:jc w:val="left"/>
              <w:rPr>
                <w:sz w:val="22"/>
                <w:szCs w:val="21"/>
                <w:highlight w:val="yellow"/>
              </w:rPr>
            </w:pPr>
            <w:r>
              <w:rPr>
                <w:rFonts w:hint="eastAsia"/>
                <w:sz w:val="22"/>
                <w:szCs w:val="21"/>
                <w:highlight w:val="none"/>
                <w:lang w:eastAsia="zh-CN"/>
              </w:rPr>
              <w:t>注: 如技术负责人提供的职称证书中无法体现相关专业，可通过毕业证书或学历证书或注册证书中专业反映。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5" w:hRule="atLeast"/>
          <w:jc w:val="center"/>
        </w:trPr>
        <w:tc>
          <w:tcPr>
            <w:tcW w:w="707" w:type="pct"/>
            <w:tcBorders>
              <w:top w:val="single" w:color="auto" w:sz="4" w:space="0"/>
              <w:right w:val="single" w:color="auto" w:sz="4" w:space="0"/>
            </w:tcBorders>
            <w:vAlign w:val="center"/>
          </w:tcPr>
          <w:p>
            <w:pPr>
              <w:spacing w:line="440" w:lineRule="exact"/>
              <w:jc w:val="center"/>
              <w:rPr>
                <w:kern w:val="0"/>
                <w:szCs w:val="21"/>
              </w:rPr>
            </w:pPr>
            <w:r>
              <w:rPr>
                <w:rFonts w:hint="eastAsia"/>
                <w:kern w:val="0"/>
                <w:szCs w:val="21"/>
              </w:rPr>
              <w:t>技术评分标准</w:t>
            </w:r>
            <w:r>
              <w:rPr>
                <w:rFonts w:hint="eastAsia"/>
                <w:kern w:val="0"/>
                <w:szCs w:val="21"/>
                <w:lang w:val="en-US" w:eastAsia="zh-CN"/>
              </w:rPr>
              <w:t>30</w:t>
            </w:r>
            <w:r>
              <w:rPr>
                <w:rFonts w:hint="eastAsia"/>
                <w:kern w:val="0"/>
                <w:szCs w:val="21"/>
              </w:rPr>
              <w:t>分</w:t>
            </w:r>
          </w:p>
        </w:tc>
        <w:tc>
          <w:tcPr>
            <w:tcW w:w="65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pPr>
            <w:r>
              <w:rPr>
                <w:rFonts w:hint="eastAsia"/>
              </w:rPr>
              <w:t>水土保持监测方案工作</w:t>
            </w:r>
          </w:p>
        </w:tc>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Cs w:val="21"/>
              </w:rPr>
            </w:pPr>
            <w:r>
              <w:rPr>
                <w:rFonts w:hint="eastAsia" w:ascii="宋体" w:hAnsi="宋体"/>
                <w:szCs w:val="21"/>
                <w:lang w:val="en-US" w:eastAsia="zh-CN"/>
              </w:rPr>
              <w:t>30</w:t>
            </w:r>
            <w:r>
              <w:rPr>
                <w:rFonts w:hint="eastAsia" w:ascii="宋体" w:hAnsi="宋体"/>
                <w:szCs w:val="21"/>
              </w:rPr>
              <w:t>分</w:t>
            </w:r>
          </w:p>
        </w:tc>
        <w:tc>
          <w:tcPr>
            <w:tcW w:w="3263" w:type="pct"/>
            <w:tcBorders>
              <w:top w:val="single" w:color="auto" w:sz="4" w:space="0"/>
              <w:left w:val="single" w:color="auto" w:sz="4" w:space="0"/>
              <w:bottom w:val="single" w:color="auto" w:sz="4" w:space="0"/>
              <w:right w:val="single" w:color="auto" w:sz="4" w:space="0"/>
            </w:tcBorders>
            <w:vAlign w:val="center"/>
          </w:tcPr>
          <w:p>
            <w:pPr>
              <w:rPr>
                <w:sz w:val="22"/>
                <w:szCs w:val="21"/>
              </w:rPr>
            </w:pPr>
            <w:r>
              <w:rPr>
                <w:rFonts w:hint="eastAsia"/>
                <w:sz w:val="22"/>
                <w:szCs w:val="21"/>
              </w:rPr>
              <w:t>工作内容齐全，可操作性强，满足采购要求。</w:t>
            </w:r>
          </w:p>
          <w:p>
            <w:pPr>
              <w:widowControl/>
              <w:spacing w:line="360" w:lineRule="auto"/>
              <w:jc w:val="left"/>
              <w:rPr>
                <w:rFonts w:ascii="宋体" w:hAnsi="宋体" w:cs="宋体"/>
                <w:kern w:val="0"/>
                <w:sz w:val="22"/>
                <w:szCs w:val="22"/>
                <w:lang w:val="zh-CN" w:bidi="zh-CN"/>
              </w:rPr>
            </w:pPr>
            <w:r>
              <w:rPr>
                <w:rFonts w:hint="eastAsia"/>
                <w:b/>
                <w:bCs/>
                <w:sz w:val="22"/>
                <w:szCs w:val="21"/>
                <w:lang w:val="en-US" w:eastAsia="zh-CN"/>
              </w:rPr>
              <w:t>优秀</w:t>
            </w:r>
            <w:r>
              <w:rPr>
                <w:rFonts w:hint="eastAsia"/>
                <w:b/>
                <w:bCs/>
                <w:sz w:val="22"/>
                <w:szCs w:val="21"/>
              </w:rPr>
              <w:t>得</w:t>
            </w:r>
            <w:r>
              <w:rPr>
                <w:rFonts w:hint="eastAsia"/>
                <w:b/>
                <w:bCs/>
                <w:sz w:val="22"/>
                <w:szCs w:val="21"/>
                <w:lang w:val="en-US" w:eastAsia="zh-CN"/>
              </w:rPr>
              <w:t>20</w:t>
            </w:r>
            <w:r>
              <w:rPr>
                <w:rFonts w:hint="eastAsia"/>
                <w:b/>
                <w:bCs/>
                <w:sz w:val="22"/>
                <w:szCs w:val="21"/>
              </w:rPr>
              <w:t>≤F≤</w:t>
            </w:r>
            <w:r>
              <w:rPr>
                <w:rFonts w:hint="eastAsia"/>
                <w:b/>
                <w:bCs/>
                <w:sz w:val="22"/>
                <w:szCs w:val="21"/>
                <w:lang w:val="en-US" w:eastAsia="zh-CN"/>
              </w:rPr>
              <w:t>30</w:t>
            </w:r>
            <w:r>
              <w:rPr>
                <w:rFonts w:hint="eastAsia"/>
                <w:b/>
                <w:bCs/>
                <w:sz w:val="22"/>
                <w:szCs w:val="21"/>
              </w:rPr>
              <w:t>分；良好得</w:t>
            </w:r>
            <w:r>
              <w:rPr>
                <w:rFonts w:hint="eastAsia"/>
                <w:b/>
                <w:bCs/>
                <w:sz w:val="22"/>
                <w:szCs w:val="21"/>
                <w:lang w:val="en-US" w:eastAsia="zh-CN"/>
              </w:rPr>
              <w:t>10</w:t>
            </w:r>
            <w:r>
              <w:rPr>
                <w:rFonts w:hint="eastAsia"/>
                <w:b/>
                <w:bCs/>
                <w:sz w:val="22"/>
                <w:szCs w:val="21"/>
              </w:rPr>
              <w:t>≤F&lt;</w:t>
            </w:r>
            <w:r>
              <w:rPr>
                <w:rFonts w:hint="eastAsia"/>
                <w:b/>
                <w:bCs/>
                <w:sz w:val="22"/>
                <w:szCs w:val="21"/>
                <w:lang w:val="en-US" w:eastAsia="zh-CN"/>
              </w:rPr>
              <w:t>20</w:t>
            </w:r>
            <w:r>
              <w:rPr>
                <w:rFonts w:hint="eastAsia"/>
                <w:b/>
                <w:bCs/>
                <w:sz w:val="22"/>
                <w:szCs w:val="21"/>
              </w:rPr>
              <w:t>分；一般或基本满足的得1≤F&lt;</w:t>
            </w:r>
            <w:r>
              <w:rPr>
                <w:b/>
                <w:bCs/>
                <w:sz w:val="22"/>
                <w:szCs w:val="21"/>
              </w:rPr>
              <w:t>10</w:t>
            </w:r>
            <w:r>
              <w:rPr>
                <w:rFonts w:hint="eastAsia"/>
                <w:b/>
                <w:bCs/>
                <w:sz w:val="22"/>
                <w:szCs w:val="21"/>
              </w:rPr>
              <w:t>;没有或不合理的得0分。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right w:val="single" w:color="auto" w:sz="4" w:space="0"/>
            </w:tcBorders>
            <w:vAlign w:val="center"/>
          </w:tcPr>
          <w:p>
            <w:pPr>
              <w:widowControl/>
              <w:spacing w:line="360" w:lineRule="auto"/>
              <w:jc w:val="left"/>
              <w:rPr>
                <w:rFonts w:hint="eastAsia" w:eastAsia="宋体"/>
                <w:lang w:val="en-US" w:eastAsia="zh-CN"/>
              </w:rPr>
            </w:pPr>
            <w:r>
              <w:rPr>
                <w:rFonts w:hint="eastAsia"/>
                <w:lang w:val="en-US" w:eastAsia="zh-CN"/>
              </w:rPr>
              <w:t>备注：取所有评委打分的平均值。</w:t>
            </w:r>
          </w:p>
        </w:tc>
      </w:tr>
    </w:tbl>
    <w:p>
      <w:pPr>
        <w:adjustRightInd w:val="0"/>
        <w:snapToGrid w:val="0"/>
        <w:spacing w:line="360" w:lineRule="auto"/>
        <w:ind w:right="-10"/>
        <w:rPr>
          <w:rFonts w:hint="eastAsia" w:ascii="宋体" w:hAnsi="宋体" w:cs="宋体"/>
          <w:bCs/>
          <w:sz w:val="24"/>
          <w:szCs w:val="24"/>
          <w:highlight w:val="none"/>
          <w:lang w:eastAsia="zh-CN"/>
        </w:rPr>
      </w:pPr>
      <w:bookmarkStart w:id="4" w:name="_Toc17370"/>
      <w:r>
        <w:rPr>
          <w:rFonts w:hint="eastAsia" w:ascii="宋体" w:hAnsi="宋体" w:cs="宋体"/>
          <w:bCs/>
          <w:sz w:val="24"/>
          <w:szCs w:val="24"/>
          <w:highlight w:val="none"/>
          <w:lang w:val="en-US" w:eastAsia="zh-CN"/>
        </w:rPr>
        <w:t>6、</w:t>
      </w:r>
      <w:r>
        <w:rPr>
          <w:rFonts w:hint="eastAsia" w:ascii="宋体" w:hAnsi="宋体" w:cs="宋体"/>
          <w:bCs/>
          <w:sz w:val="24"/>
          <w:szCs w:val="24"/>
          <w:highlight w:val="none"/>
          <w:lang w:eastAsia="zh-CN"/>
        </w:rPr>
        <w:t>本项目采用综合评估法，以固定总价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numPr>
          <w:ilvl w:val="0"/>
          <w:numId w:val="0"/>
        </w:numPr>
        <w:adjustRightInd w:val="0"/>
        <w:snapToGrid w:val="0"/>
        <w:spacing w:line="360" w:lineRule="auto"/>
        <w:ind w:right="-10" w:rightChars="0"/>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lang w:val="en-US" w:eastAsia="zh-CN"/>
        </w:rPr>
        <w:t>9</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rPr>
          <w:rFonts w:hint="eastAsia" w:ascii="宋体" w:hAnsi="宋体" w:eastAsia="宋体" w:cs="宋体"/>
          <w:sz w:val="28"/>
          <w:szCs w:val="28"/>
          <w:highlight w:val="none"/>
          <w:lang w:val="en-US" w:eastAsia="zh-CN"/>
        </w:rPr>
      </w:pPr>
      <w:r>
        <w:rPr>
          <w:rFonts w:hint="eastAsia" w:ascii="宋体" w:hAnsi="宋体" w:cs="宋体"/>
          <w:bCs/>
          <w:sz w:val="24"/>
          <w:szCs w:val="24"/>
          <w:highlight w:val="none"/>
        </w:rPr>
        <w:br w:type="page"/>
      </w:r>
    </w:p>
    <w:p>
      <w:pPr>
        <w:adjustRightInd w:val="0"/>
        <w:snapToGrid w:val="0"/>
        <w:spacing w:line="360" w:lineRule="auto"/>
        <w:ind w:right="-10" w:firstLine="490" w:firstLineChars="175"/>
        <w:jc w:val="center"/>
        <w:rPr>
          <w:rFonts w:hint="eastAsia" w:ascii="宋体" w:hAnsi="宋体" w:eastAsia="宋体" w:cs="宋体"/>
          <w:sz w:val="28"/>
          <w:szCs w:val="28"/>
          <w:highlight w:val="none"/>
          <w:lang w:val="en-US" w:eastAsia="zh-CN"/>
        </w:rPr>
      </w:pPr>
    </w:p>
    <w:p>
      <w:pPr>
        <w:adjustRightInd w:val="0"/>
        <w:snapToGrid w:val="0"/>
        <w:spacing w:line="360" w:lineRule="auto"/>
        <w:ind w:right="-10" w:firstLine="490" w:firstLineChars="175"/>
        <w:jc w:val="center"/>
        <w:rPr>
          <w:rStyle w:val="22"/>
          <w:rFonts w:hint="eastAsia" w:ascii="宋体" w:hAnsi="宋体" w:eastAsia="宋体" w:cs="宋体"/>
          <w:b w:val="0"/>
          <w:bCs w:val="0"/>
          <w:sz w:val="28"/>
          <w:szCs w:val="28"/>
          <w:highlight w:val="none"/>
        </w:rPr>
      </w:pPr>
      <w:r>
        <w:rPr>
          <w:rFonts w:hint="eastAsia" w:ascii="宋体" w:hAnsi="宋体" w:eastAsia="宋体" w:cs="宋体"/>
          <w:sz w:val="28"/>
          <w:szCs w:val="28"/>
          <w:highlight w:val="none"/>
          <w:lang w:val="en-US" w:eastAsia="zh-CN"/>
        </w:rPr>
        <w:t xml:space="preserve">第四章  </w:t>
      </w:r>
      <w:r>
        <w:rPr>
          <w:rStyle w:val="22"/>
          <w:rFonts w:hint="eastAsia" w:ascii="宋体" w:hAnsi="宋体" w:eastAsia="宋体" w:cs="宋体"/>
          <w:b/>
          <w:bCs/>
          <w:sz w:val="28"/>
          <w:szCs w:val="28"/>
          <w:highlight w:val="none"/>
          <w:lang w:val="en-US" w:eastAsia="zh-CN"/>
        </w:rPr>
        <w:t>入选服务合同</w:t>
      </w:r>
      <w:bookmarkEnd w:id="4"/>
    </w:p>
    <w:p>
      <w:pPr>
        <w:spacing w:before="156" w:beforeLines="50" w:after="93" w:afterLines="30" w:line="360" w:lineRule="auto"/>
        <w:rPr>
          <w:rFonts w:hint="eastAsia" w:ascii="宋体" w:hAnsi="宋体" w:cs="宋体"/>
          <w:sz w:val="24"/>
          <w:szCs w:val="24"/>
          <w:highlight w:val="none"/>
          <w:u w:val="single"/>
        </w:rPr>
      </w:pPr>
      <w:bookmarkStart w:id="5"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2"/>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5"/>
      <w:bookmarkStart w:id="6" w:name="_Hlt509738509"/>
      <w:bookmarkStart w:id="7" w:name="_Hlt509738521"/>
      <w:bookmarkStart w:id="8" w:name="_Hlt519045391"/>
    </w:p>
    <w:p>
      <w:pPr>
        <w:pStyle w:val="14"/>
        <w:rPr>
          <w:rFonts w:hint="eastAsia"/>
          <w:highlight w:val="none"/>
        </w:rPr>
      </w:pPr>
    </w:p>
    <w:p>
      <w:pPr>
        <w:jc w:val="center"/>
        <w:rPr>
          <w:rStyle w:val="21"/>
          <w:rFonts w:hint="eastAsia" w:ascii="宋体" w:hAnsi="宋体" w:cs="宋体"/>
          <w:sz w:val="44"/>
          <w:szCs w:val="44"/>
          <w:highlight w:val="none"/>
          <w:lang w:val="en-US" w:eastAsia="zh-CN"/>
        </w:rPr>
      </w:pPr>
      <w:r>
        <w:rPr>
          <w:rStyle w:val="21"/>
          <w:rFonts w:hint="eastAsia" w:ascii="宋体" w:hAnsi="宋体" w:cs="宋体"/>
          <w:sz w:val="44"/>
          <w:szCs w:val="44"/>
          <w:highlight w:val="none"/>
          <w:lang w:val="en-US" w:eastAsia="zh-CN"/>
        </w:rPr>
        <w:t>青年路板块城市更新项目-杨桂塘菜市场水土保持监测</w:t>
      </w:r>
    </w:p>
    <w:p>
      <w:pPr>
        <w:pStyle w:val="7"/>
        <w:rPr>
          <w:rFonts w:hint="eastAsia"/>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5"/>
        <w:rPr>
          <w:rFonts w:hint="eastAsia" w:cs="宋体"/>
          <w:sz w:val="28"/>
          <w:szCs w:val="28"/>
          <w:highlight w:val="none"/>
        </w:rPr>
      </w:pP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9" w:name="_Hlt533408916"/>
      <w:bookmarkEnd w:id="9"/>
      <w:bookmarkStart w:id="10" w:name="_Hlt533409360"/>
      <w:bookmarkEnd w:id="10"/>
      <w:bookmarkStart w:id="11" w:name="_Hlt509716873"/>
      <w:bookmarkEnd w:id="11"/>
      <w:bookmarkStart w:id="12" w:name="_Hlt533408409"/>
      <w:bookmarkEnd w:id="12"/>
      <w:bookmarkStart w:id="13" w:name="_Hlt519045798"/>
      <w:bookmarkEnd w:id="13"/>
      <w:bookmarkStart w:id="14" w:name="_Toc13084"/>
      <w:bookmarkStart w:id="15" w:name="_Toc516969097"/>
      <w:bookmarkStart w:id="16" w:name="_Toc197934563"/>
      <w:r>
        <w:rPr>
          <w:rStyle w:val="24"/>
          <w:rFonts w:hint="eastAsia" w:ascii="宋体" w:hAnsi="宋体" w:eastAsia="宋体" w:cs="宋体"/>
          <w:b/>
          <w:bCs/>
          <w:sz w:val="28"/>
          <w:szCs w:val="28"/>
          <w:highlight w:val="none"/>
          <w:lang w:val="en-US" w:eastAsia="zh-CN"/>
        </w:rPr>
        <w:t>一．</w:t>
      </w:r>
      <w:r>
        <w:rPr>
          <w:rStyle w:val="24"/>
          <w:rFonts w:hint="eastAsia" w:hAnsi="宋体" w:eastAsia="宋体" w:cs="宋体"/>
          <w:b/>
          <w:bCs/>
          <w:sz w:val="28"/>
          <w:szCs w:val="28"/>
          <w:highlight w:val="none"/>
          <w:lang w:val="en-US" w:eastAsia="zh-CN"/>
        </w:rPr>
        <w:t>参审</w:t>
      </w:r>
      <w:r>
        <w:rPr>
          <w:rStyle w:val="24"/>
          <w:rFonts w:hint="eastAsia" w:ascii="宋体" w:hAnsi="宋体" w:eastAsia="宋体" w:cs="宋体"/>
          <w:b/>
          <w:bCs/>
          <w:sz w:val="28"/>
          <w:szCs w:val="28"/>
          <w:highlight w:val="none"/>
          <w:lang w:val="en-US" w:eastAsia="zh-CN"/>
        </w:rPr>
        <w:t>一览表</w:t>
      </w:r>
      <w:bookmarkEnd w:id="14"/>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cs="宋体"/>
                <w:bCs/>
                <w:sz w:val="28"/>
                <w:szCs w:val="28"/>
                <w:highlight w:val="none"/>
                <w:u w:val="single"/>
              </w:rPr>
            </w:pPr>
            <w:r>
              <w:rPr>
                <w:rStyle w:val="21"/>
                <w:rFonts w:hint="eastAsia" w:ascii="宋体" w:hAnsi="宋体" w:cs="宋体"/>
                <w:b w:val="0"/>
                <w:bCs w:val="0"/>
                <w:sz w:val="28"/>
                <w:szCs w:val="28"/>
                <w:highlight w:val="none"/>
                <w:lang w:val="en-US" w:eastAsia="zh-CN"/>
              </w:rPr>
              <w:t>青年路板块城市更新项目-杨桂塘菜市场水土保持监测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1"/>
        <w:rPr>
          <w:rFonts w:hint="eastAsia" w:ascii="宋体" w:hAnsi="宋体" w:cs="宋体"/>
          <w:b/>
          <w:sz w:val="28"/>
          <w:szCs w:val="28"/>
          <w:highlight w:val="none"/>
        </w:rPr>
      </w:pPr>
    </w:p>
    <w:p>
      <w:pPr>
        <w:pStyle w:val="11"/>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4"/>
        <w:spacing w:before="0" w:beforeLines="0" w:after="0" w:afterLines="0" w:line="440" w:lineRule="atLeast"/>
        <w:jc w:val="both"/>
        <w:rPr>
          <w:rFonts w:hint="eastAsia" w:ascii="宋体" w:hAnsi="宋体" w:eastAsia="宋体" w:cs="宋体"/>
          <w:b/>
          <w:bCs/>
          <w:color w:val="auto"/>
          <w:kern w:val="2"/>
          <w:sz w:val="28"/>
          <w:szCs w:val="28"/>
          <w:highlight w:val="none"/>
          <w:lang w:val="en-US" w:eastAsia="zh-CN" w:bidi="ar-SA"/>
        </w:rPr>
      </w:pPr>
      <w:bookmarkStart w:id="17" w:name="_Toc6245"/>
      <w:bookmarkStart w:id="18" w:name="_Toc500337339"/>
      <w:bookmarkStart w:id="19" w:name="_Toc19990"/>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227"/>
      <w:bookmarkStart w:id="21" w:name="_Toc535241130"/>
      <w:bookmarkStart w:id="22" w:name="_Toc535241084"/>
      <w:bookmarkStart w:id="23" w:name="_Toc224103498"/>
      <w:bookmarkStart w:id="24" w:name="_Toc224103497"/>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5"/>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4"/>
          <w:rFonts w:hint="eastAsia" w:hAnsi="宋体" w:eastAsia="宋体" w:cs="宋体"/>
          <w:b/>
          <w:bCs/>
          <w:sz w:val="28"/>
          <w:szCs w:val="28"/>
          <w:highlight w:val="none"/>
          <w:lang w:val="en-US" w:eastAsia="zh-CN"/>
        </w:rPr>
      </w:pPr>
    </w:p>
    <w:p>
      <w:pPr>
        <w:rPr>
          <w:rStyle w:val="24"/>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4"/>
          <w:rFonts w:hint="eastAsia" w:hAnsi="宋体" w:eastAsia="宋体" w:cs="宋体"/>
          <w:b/>
          <w:bCs/>
          <w:sz w:val="28"/>
          <w:szCs w:val="28"/>
          <w:highlight w:val="none"/>
          <w:lang w:val="en-US" w:eastAsia="zh-CN"/>
        </w:rPr>
        <w:t>三</w:t>
      </w:r>
      <w:r>
        <w:rPr>
          <w:rStyle w:val="24"/>
          <w:rFonts w:hint="eastAsia" w:ascii="宋体" w:hAnsi="宋体" w:eastAsia="宋体" w:cs="宋体"/>
          <w:b/>
          <w:bCs/>
          <w:sz w:val="28"/>
          <w:szCs w:val="28"/>
          <w:highlight w:val="none"/>
          <w:lang w:val="en-US" w:eastAsia="zh-CN"/>
        </w:rPr>
        <w:t>．</w:t>
      </w:r>
      <w:r>
        <w:rPr>
          <w:rStyle w:val="24"/>
          <w:rFonts w:hint="eastAsia" w:hAnsi="宋体" w:eastAsia="宋体" w:cs="宋体"/>
          <w:b/>
          <w:bCs/>
          <w:sz w:val="28"/>
          <w:szCs w:val="28"/>
          <w:highlight w:val="none"/>
          <w:lang w:val="en-US" w:eastAsia="zh-CN"/>
        </w:rPr>
        <w:t>承诺</w:t>
      </w:r>
      <w:r>
        <w:rPr>
          <w:rStyle w:val="24"/>
          <w:rFonts w:hint="eastAsia" w:ascii="宋体" w:hAnsi="宋体" w:eastAsia="宋体" w:cs="宋体"/>
          <w:b/>
          <w:bCs/>
          <w:sz w:val="28"/>
          <w:szCs w:val="28"/>
          <w:highlight w:val="none"/>
          <w:lang w:val="en-US" w:eastAsia="zh-CN"/>
        </w:rPr>
        <w:t>函</w:t>
      </w:r>
      <w:bookmarkEnd w:id="18"/>
      <w:bookmarkEnd w:id="19"/>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u w:val="single"/>
          <w:lang w:val="en-US" w:eastAsia="zh-CN"/>
        </w:rPr>
        <w:t>青年路板块城市更新项目-杨桂塘菜市场水土保持监测</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6"/>
    <w:bookmarkEnd w:id="7"/>
    <w:bookmarkEnd w:id="8"/>
    <w:bookmarkEnd w:id="16"/>
    <w:p>
      <w:pPr>
        <w:pStyle w:val="4"/>
        <w:spacing w:before="120" w:beforeLines="0" w:after="120" w:afterLines="0" w:line="360" w:lineRule="auto"/>
        <w:rPr>
          <w:rFonts w:hint="eastAsia" w:hAnsi="宋体" w:cs="宋体"/>
          <w:sz w:val="28"/>
          <w:szCs w:val="28"/>
          <w:highlight w:val="none"/>
        </w:rPr>
      </w:pPr>
      <w:bookmarkStart w:id="25" w:name="_Hlt533408944"/>
      <w:bookmarkEnd w:id="25"/>
      <w:bookmarkStart w:id="26" w:name="_Hlt514495724"/>
      <w:bookmarkEnd w:id="26"/>
      <w:r>
        <w:rPr>
          <w:rFonts w:hint="eastAsia" w:hAnsi="宋体" w:cs="宋体"/>
          <w:sz w:val="28"/>
          <w:szCs w:val="28"/>
          <w:highlight w:val="none"/>
        </w:rPr>
        <w:br w:type="page"/>
      </w:r>
      <w:bookmarkStart w:id="27" w:name="_Toc3326"/>
      <w:r>
        <w:rPr>
          <w:rFonts w:hint="eastAsia" w:hAnsi="宋体" w:cs="宋体"/>
          <w:sz w:val="28"/>
          <w:szCs w:val="28"/>
          <w:highlight w:val="none"/>
          <w:lang w:val="en-US" w:eastAsia="zh-CN"/>
        </w:rPr>
        <w:t>四</w:t>
      </w:r>
      <w:r>
        <w:rPr>
          <w:rStyle w:val="24"/>
          <w:rFonts w:hint="eastAsia" w:ascii="宋体" w:hAnsi="宋体" w:eastAsia="宋体" w:cs="宋体"/>
          <w:b/>
          <w:bCs/>
          <w:sz w:val="28"/>
          <w:szCs w:val="28"/>
          <w:highlight w:val="none"/>
        </w:rPr>
        <w:t>．信用承诺</w:t>
      </w:r>
      <w:bookmarkEnd w:id="27"/>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4"/>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8" w:name="_Toc19826"/>
      <w:bookmarkStart w:id="29" w:name="_Toc500337343"/>
      <w:r>
        <w:rPr>
          <w:rFonts w:hint="eastAsia" w:hAnsi="宋体" w:cs="宋体"/>
          <w:sz w:val="28"/>
          <w:szCs w:val="28"/>
          <w:highlight w:val="none"/>
          <w:lang w:val="en-US" w:eastAsia="zh-CN"/>
        </w:rPr>
        <w:t>五</w:t>
      </w:r>
      <w:r>
        <w:rPr>
          <w:rStyle w:val="24"/>
          <w:rFonts w:hint="eastAsia" w:ascii="宋体" w:hAnsi="宋体" w:eastAsia="宋体" w:cs="宋体"/>
          <w:b/>
          <w:bCs/>
          <w:sz w:val="28"/>
          <w:szCs w:val="28"/>
          <w:highlight w:val="none"/>
          <w:lang w:val="en-US" w:eastAsia="zh-CN"/>
        </w:rPr>
        <w:t>．</w:t>
      </w:r>
      <w:bookmarkEnd w:id="28"/>
      <w:bookmarkEnd w:id="29"/>
      <w:bookmarkStart w:id="30" w:name="_Toc516969105"/>
      <w:bookmarkStart w:id="31" w:name="_Toc26965"/>
      <w:bookmarkStart w:id="32" w:name="_Toc220232402"/>
      <w:r>
        <w:rPr>
          <w:rStyle w:val="24"/>
          <w:rFonts w:hint="eastAsia" w:ascii="宋体" w:hAnsi="宋体" w:eastAsia="宋体" w:cs="宋体"/>
          <w:b/>
          <w:bCs/>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122185"/>
      <w:bookmarkStart w:id="34" w:name="_Toc396317511"/>
      <w:bookmarkStart w:id="35" w:name="_Toc17338"/>
      <w:bookmarkStart w:id="36" w:name="_Toc500337346"/>
      <w:bookmarkStart w:id="37"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3"/>
      <w:bookmarkEnd w:id="34"/>
      <w:r>
        <w:rPr>
          <w:rFonts w:hint="eastAsia" w:hAnsi="宋体" w:cs="宋体"/>
          <w:sz w:val="28"/>
          <w:szCs w:val="28"/>
          <w:highlight w:val="none"/>
          <w:lang w:eastAsia="zh-CN"/>
        </w:rPr>
        <w:t xml:space="preserve"> 其他资料</w:t>
      </w:r>
      <w:bookmarkEnd w:id="35"/>
      <w:bookmarkEnd w:id="36"/>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7"/>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abstractNum w:abstractNumId="2">
    <w:nsid w:val="3513A6D1"/>
    <w:multiLevelType w:val="singleLevel"/>
    <w:tmpl w:val="3513A6D1"/>
    <w:lvl w:ilvl="0" w:tentative="0">
      <w:start w:val="5"/>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9B7CF9"/>
    <w:rsid w:val="01FE203A"/>
    <w:rsid w:val="03D177E1"/>
    <w:rsid w:val="04526E7B"/>
    <w:rsid w:val="04BE14C0"/>
    <w:rsid w:val="07EE1C3A"/>
    <w:rsid w:val="081952B3"/>
    <w:rsid w:val="08922100"/>
    <w:rsid w:val="092D09C5"/>
    <w:rsid w:val="099F10DB"/>
    <w:rsid w:val="0BA23811"/>
    <w:rsid w:val="0DB54600"/>
    <w:rsid w:val="0E033F7A"/>
    <w:rsid w:val="0E4775D9"/>
    <w:rsid w:val="0EE91E83"/>
    <w:rsid w:val="0F725021"/>
    <w:rsid w:val="135056C8"/>
    <w:rsid w:val="13C47160"/>
    <w:rsid w:val="140C4DDD"/>
    <w:rsid w:val="158F4327"/>
    <w:rsid w:val="175054C9"/>
    <w:rsid w:val="182C1032"/>
    <w:rsid w:val="19567783"/>
    <w:rsid w:val="1B841D1D"/>
    <w:rsid w:val="1BF22A8E"/>
    <w:rsid w:val="1CDD28FB"/>
    <w:rsid w:val="23A62190"/>
    <w:rsid w:val="23E028CC"/>
    <w:rsid w:val="26356BAE"/>
    <w:rsid w:val="26B90A88"/>
    <w:rsid w:val="290D27BA"/>
    <w:rsid w:val="292559B5"/>
    <w:rsid w:val="2D3A48A4"/>
    <w:rsid w:val="2E0E0B66"/>
    <w:rsid w:val="30DE4562"/>
    <w:rsid w:val="311B4138"/>
    <w:rsid w:val="343F2DFD"/>
    <w:rsid w:val="37D5285C"/>
    <w:rsid w:val="39AB1468"/>
    <w:rsid w:val="3A587E8F"/>
    <w:rsid w:val="3B5A3BC4"/>
    <w:rsid w:val="3C0E6EC2"/>
    <w:rsid w:val="3C72614E"/>
    <w:rsid w:val="3E1901BE"/>
    <w:rsid w:val="3EF96B18"/>
    <w:rsid w:val="4374368A"/>
    <w:rsid w:val="44823FC0"/>
    <w:rsid w:val="47C040BF"/>
    <w:rsid w:val="47F52818"/>
    <w:rsid w:val="48044450"/>
    <w:rsid w:val="48536283"/>
    <w:rsid w:val="48811DCD"/>
    <w:rsid w:val="4A2000F0"/>
    <w:rsid w:val="4A7D1684"/>
    <w:rsid w:val="4DD50B0D"/>
    <w:rsid w:val="4EB85956"/>
    <w:rsid w:val="51C33A87"/>
    <w:rsid w:val="54A70F6B"/>
    <w:rsid w:val="567F608E"/>
    <w:rsid w:val="57D87E20"/>
    <w:rsid w:val="5C0629E9"/>
    <w:rsid w:val="5CFE5FDA"/>
    <w:rsid w:val="60A14592"/>
    <w:rsid w:val="64A5505E"/>
    <w:rsid w:val="6597619F"/>
    <w:rsid w:val="6608232F"/>
    <w:rsid w:val="66EF67B7"/>
    <w:rsid w:val="68816AA3"/>
    <w:rsid w:val="6C727408"/>
    <w:rsid w:val="6C8D2FC3"/>
    <w:rsid w:val="6D147674"/>
    <w:rsid w:val="70A1790A"/>
    <w:rsid w:val="74AB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1"/>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4"/>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customStyle="1" w:styleId="21">
    <w:name w:val="NormalCharacter"/>
    <w:link w:val="1"/>
    <w:qFormat/>
    <w:uiPriority w:val="0"/>
    <w:rPr>
      <w:rFonts w:ascii="Times New Roman" w:hAnsi="Times New Roman" w:eastAsia="宋体" w:cs="Times New Roman"/>
      <w:kern w:val="2"/>
      <w:sz w:val="21"/>
      <w:lang w:val="en-US" w:eastAsia="zh-CN" w:bidi="ar-SA"/>
    </w:rPr>
  </w:style>
  <w:style w:type="character" w:customStyle="1" w:styleId="22">
    <w:name w:val="标题 1 Char Char"/>
    <w:link w:val="2"/>
    <w:qFormat/>
    <w:uiPriority w:val="0"/>
    <w:rPr>
      <w:rFonts w:ascii="Times New Roman" w:hAnsi="Times New Roman" w:eastAsia="黑体"/>
      <w:b/>
      <w:bCs/>
      <w:kern w:val="44"/>
      <w:sz w:val="32"/>
      <w:szCs w:val="44"/>
    </w:rPr>
  </w:style>
  <w:style w:type="paragraph" w:customStyle="1" w:styleId="23">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4">
    <w:name w:val="标题 2 Char1"/>
    <w:link w:val="3"/>
    <w:qFormat/>
    <w:uiPriority w:val="0"/>
    <w:rPr>
      <w:rFonts w:ascii="Arial" w:hAnsi="Arial" w:eastAsia="仿宋_GB2312"/>
      <w:b/>
      <w:bCs/>
      <w:kern w:val="2"/>
      <w:sz w:val="32"/>
      <w:szCs w:val="32"/>
    </w:rPr>
  </w:style>
  <w:style w:type="character" w:customStyle="1" w:styleId="25">
    <w:name w:val="fontstyle01"/>
    <w:qFormat/>
    <w:uiPriority w:val="0"/>
    <w:rPr>
      <w:rFonts w:hint="eastAsia" w:ascii="宋体" w:hAnsi="宋体" w:eastAsia="宋体"/>
      <w:color w:val="000000"/>
      <w:sz w:val="22"/>
      <w:szCs w:val="22"/>
    </w:rPr>
  </w:style>
  <w:style w:type="paragraph" w:customStyle="1" w:styleId="26">
    <w:name w:val="xl31"/>
    <w:basedOn w:val="1"/>
    <w:qFormat/>
    <w:uiPriority w:val="0"/>
    <w:pPr>
      <w:widowControl/>
      <w:spacing w:before="100" w:beforeAutospacing="1" w:after="100" w:afterAutospacing="1"/>
      <w:jc w:val="center"/>
    </w:pPr>
    <w:rPr>
      <w:b/>
      <w:bCs/>
      <w:kern w:val="0"/>
      <w:sz w:val="28"/>
      <w:szCs w:val="28"/>
    </w:rPr>
  </w:style>
  <w:style w:type="character" w:customStyle="1" w:styleId="27">
    <w:name w:val="font41"/>
    <w:basedOn w:val="19"/>
    <w:qFormat/>
    <w:uiPriority w:val="0"/>
    <w:rPr>
      <w:rFonts w:hint="eastAsia" w:ascii="宋体" w:hAnsi="宋体" w:eastAsia="宋体" w:cs="宋体"/>
      <w:b/>
      <w:bCs/>
      <w:color w:val="000000"/>
      <w:sz w:val="20"/>
      <w:szCs w:val="20"/>
      <w:u w:val="none"/>
    </w:rPr>
  </w:style>
  <w:style w:type="character" w:customStyle="1" w:styleId="28">
    <w:name w:val="font11"/>
    <w:basedOn w:val="19"/>
    <w:qFormat/>
    <w:uiPriority w:val="0"/>
    <w:rPr>
      <w:rFonts w:hint="eastAsia" w:ascii="宋体" w:hAnsi="宋体" w:eastAsia="宋体" w:cs="宋体"/>
      <w:color w:val="000000"/>
      <w:sz w:val="20"/>
      <w:szCs w:val="20"/>
      <w:u w:val="none"/>
    </w:rPr>
  </w:style>
  <w:style w:type="character" w:customStyle="1" w:styleId="29">
    <w:name w:val="font51"/>
    <w:basedOn w:val="19"/>
    <w:qFormat/>
    <w:uiPriority w:val="0"/>
    <w:rPr>
      <w:rFonts w:hint="eastAsia" w:ascii="宋体" w:hAnsi="宋体" w:eastAsia="宋体" w:cs="宋体"/>
      <w:color w:val="FF0000"/>
      <w:sz w:val="20"/>
      <w:szCs w:val="20"/>
      <w:u w:val="none"/>
    </w:rPr>
  </w:style>
  <w:style w:type="paragraph" w:customStyle="1" w:styleId="30">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01"/>
    <w:basedOn w:val="19"/>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6090</Words>
  <Characters>6303</Characters>
  <Lines>0</Lines>
  <Paragraphs>0</Paragraphs>
  <TotalTime>0</TotalTime>
  <ScaleCrop>false</ScaleCrop>
  <LinksUpToDate>false</LinksUpToDate>
  <CharactersWithSpaces>7183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once</cp:lastModifiedBy>
  <cp:lastPrinted>2023-05-11T01:03:00Z</cp:lastPrinted>
  <dcterms:modified xsi:type="dcterms:W3CDTF">2023-12-12T01:55:36Z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E27F39F60EA14B16BCC9817D50B6A04F_13</vt:lpwstr>
  </property>
</Properties>
</file>