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44"/>
          <w:szCs w:val="44"/>
          <w:highlight w:val="none"/>
        </w:rPr>
      </w:pPr>
    </w:p>
    <w:p>
      <w:pPr>
        <w:spacing w:before="240" w:beforeLines="100" w:line="360" w:lineRule="auto"/>
        <w:ind w:left="0" w:leftChars="0" w:firstLine="0" w:firstLineChars="0"/>
        <w:jc w:val="center"/>
        <w:rPr>
          <w:rFonts w:hint="default" w:ascii="宋体" w:hAnsi="宋体" w:eastAsia="宋体"/>
          <w:sz w:val="24"/>
          <w:highlight w:val="none"/>
          <w:lang w:val="en-US" w:eastAsia="zh-CN"/>
        </w:rPr>
      </w:pPr>
      <w:r>
        <w:rPr>
          <w:rFonts w:hint="eastAsia" w:ascii="黑体" w:hAnsi="黑体" w:eastAsia="黑体"/>
          <w:sz w:val="44"/>
          <w:szCs w:val="44"/>
          <w:highlight w:val="none"/>
          <w:lang w:eastAsia="zh-CN"/>
        </w:rPr>
        <w:t>刘同兴隆庄展馆提升改造项目</w:t>
      </w:r>
      <w:r>
        <w:rPr>
          <w:rFonts w:hint="eastAsia" w:ascii="黑体" w:hAnsi="黑体" w:eastAsia="黑体"/>
          <w:sz w:val="44"/>
          <w:szCs w:val="44"/>
          <w:highlight w:val="none"/>
          <w:lang w:val="en-US" w:eastAsia="zh-CN"/>
        </w:rPr>
        <w:t>监理</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7"/>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宋体" w:hAnsi="宋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宋体" w:hAnsi="宋体"/>
          <w:sz w:val="32"/>
          <w:szCs w:val="32"/>
          <w:highlight w:val="none"/>
        </w:rPr>
        <w:t>年</w:t>
      </w:r>
      <w:r>
        <w:rPr>
          <w:rFonts w:hint="eastAsia" w:ascii="宋体" w:hAnsi="宋体"/>
          <w:sz w:val="32"/>
          <w:szCs w:val="32"/>
          <w:highlight w:val="none"/>
          <w:lang w:val="en-US" w:eastAsia="zh-CN"/>
        </w:rPr>
        <w:t>7</w:t>
      </w:r>
      <w:r>
        <w:rPr>
          <w:rFonts w:hint="eastAsia" w:ascii="宋体" w:hAnsi="宋体"/>
          <w:sz w:val="32"/>
          <w:szCs w:val="32"/>
          <w:highlight w:val="none"/>
        </w:rPr>
        <w:t>月</w:t>
      </w:r>
    </w:p>
    <w:p>
      <w:pPr>
        <w:pStyle w:val="16"/>
        <w:rPr>
          <w:rFonts w:hint="eastAsia" w:ascii="宋体" w:hAnsi="宋体"/>
          <w:sz w:val="32"/>
          <w:szCs w:val="32"/>
          <w:highlight w:val="none"/>
        </w:rPr>
      </w:pPr>
    </w:p>
    <w:p>
      <w:pPr>
        <w:pStyle w:val="14"/>
        <w:rPr>
          <w:rFonts w:hint="eastAsia"/>
          <w:highlight w:val="none"/>
        </w:rPr>
      </w:pP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lang w:eastAsia="zh-CN"/>
        </w:rPr>
        <w:t>刘同兴隆庄展馆提升改造项目</w:t>
      </w:r>
      <w:r>
        <w:rPr>
          <w:rFonts w:hint="eastAsia" w:ascii="宋体" w:hAnsi="宋体" w:cs="宋体"/>
          <w:sz w:val="24"/>
          <w:szCs w:val="24"/>
          <w:highlight w:val="none"/>
          <w:u w:val="none"/>
          <w:lang w:val="en-US" w:eastAsia="zh-CN"/>
        </w:rPr>
        <w:t>监理</w:t>
      </w:r>
      <w:r>
        <w:rPr>
          <w:rFonts w:hint="eastAsia" w:ascii="宋体" w:hAnsi="宋体" w:cs="宋体"/>
          <w:sz w:val="24"/>
          <w:szCs w:val="24"/>
          <w:highlight w:val="none"/>
          <w:u w:val="none"/>
        </w:rPr>
        <w:t>”</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1.项目名称：</w:t>
      </w:r>
      <w:r>
        <w:rPr>
          <w:rFonts w:hint="eastAsia" w:ascii="宋体" w:hAnsi="宋体" w:cs="宋体"/>
          <w:sz w:val="24"/>
          <w:szCs w:val="24"/>
          <w:highlight w:val="none"/>
          <w:lang w:eastAsia="zh-CN"/>
        </w:rPr>
        <w:t>刘同兴隆庄展馆提升改造项目</w:t>
      </w:r>
      <w:r>
        <w:rPr>
          <w:rFonts w:hint="eastAsia" w:ascii="宋体" w:hAnsi="宋体" w:cs="宋体"/>
          <w:sz w:val="24"/>
          <w:szCs w:val="24"/>
          <w:highlight w:val="none"/>
          <w:lang w:val="en-US" w:eastAsia="zh-CN"/>
        </w:rPr>
        <w:t>监理</w:t>
      </w:r>
    </w:p>
    <w:p>
      <w:pPr>
        <w:autoSpaceDE w:val="0"/>
        <w:autoSpaceDN w:val="0"/>
        <w:adjustRightIn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2.项目地点：</w:t>
      </w:r>
      <w:r>
        <w:rPr>
          <w:rFonts w:hint="eastAsia" w:ascii="宋体" w:hAnsi="宋体" w:cs="宋体"/>
          <w:sz w:val="24"/>
          <w:szCs w:val="24"/>
          <w:highlight w:val="none"/>
          <w:lang w:val="en-US" w:eastAsia="zh-CN"/>
        </w:rPr>
        <w:t>肥西县三河镇</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概况：本项目位于三河古镇核心景区内，规划将原刘同兴隆庄展馆打造成沉浸式主题体验馆。项目总改造面积约700㎡。主要建设内容：1.主题设计；2.室内外景观提升改造；3.室内布展（包含但不仅限于：音乐展陈设施设备、多媒体设备、机电设备安装、智慧系统安装等）；4.古建修复（包含但不仅限于：建筑、景观等）。</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5.资金来源：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宋体" w:hAnsi="宋体" w:cs="宋体"/>
          <w:sz w:val="24"/>
          <w:szCs w:val="24"/>
          <w:highlight w:val="none"/>
          <w:lang w:val="en-US" w:eastAsia="zh-CN"/>
        </w:rPr>
        <w:t>19万元（各单位报价不得超过本预算）</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7.项目类别：</w:t>
      </w:r>
      <w:r>
        <w:rPr>
          <w:rFonts w:hint="eastAsia" w:ascii="宋体" w:hAnsi="宋体" w:cs="宋体"/>
          <w:sz w:val="24"/>
          <w:szCs w:val="24"/>
          <w:highlight w:val="none"/>
          <w:lang w:val="en-US" w:eastAsia="zh-CN"/>
        </w:rPr>
        <w:t>工程服务</w:t>
      </w:r>
      <w:r>
        <w:rPr>
          <w:rFonts w:hint="eastAsia" w:ascii="宋体" w:hAnsi="宋体" w:cs="宋体"/>
          <w:sz w:val="24"/>
          <w:szCs w:val="24"/>
          <w:highlight w:val="none"/>
        </w:rPr>
        <w:t>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具有独立承担民事责任的能力</w:t>
      </w:r>
      <w:r>
        <w:rPr>
          <w:rFonts w:hint="eastAsia" w:ascii="宋体" w:hAnsi="宋体" w:cs="宋体"/>
          <w:sz w:val="24"/>
          <w:szCs w:val="24"/>
          <w:highlight w:val="none"/>
        </w:rPr>
        <w:t>；</w:t>
      </w:r>
    </w:p>
    <w:p>
      <w:pPr>
        <w:spacing w:line="360" w:lineRule="auto"/>
        <w:ind w:firstLine="480" w:firstLineChars="200"/>
        <w:rPr>
          <w:rFonts w:hint="default"/>
          <w:lang w:val="en-US" w:eastAsia="zh-CN"/>
        </w:rPr>
      </w:pPr>
      <w:r>
        <w:rPr>
          <w:rFonts w:hint="eastAsia" w:ascii="宋体" w:hAnsi="宋体" w:cs="宋体"/>
          <w:sz w:val="24"/>
          <w:szCs w:val="24"/>
          <w:highlight w:val="none"/>
          <w:lang w:val="en-US" w:eastAsia="zh-CN"/>
        </w:rPr>
        <w:t>2.具有房屋建筑工程监理乙级及以上资质或工程监理综合资质；</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3.需提供两个自</w:t>
      </w:r>
      <w:r>
        <w:rPr>
          <w:rFonts w:hint="eastAsia" w:ascii="宋体" w:hAnsi="宋体"/>
          <w:sz w:val="21"/>
          <w:szCs w:val="21"/>
          <w:highlight w:val="none"/>
          <w:lang w:val="en-US" w:eastAsia="zh-CN"/>
        </w:rPr>
        <w:t>2018年1月1日以来（时间以定案表落款日期或者合同签订时间为准），</w:t>
      </w:r>
      <w:r>
        <w:rPr>
          <w:rFonts w:hint="eastAsia" w:ascii="宋体" w:hAnsi="宋体"/>
          <w:sz w:val="21"/>
          <w:szCs w:val="21"/>
          <w:highlight w:val="none"/>
        </w:rPr>
        <w:t>不低于</w:t>
      </w:r>
      <w:r>
        <w:rPr>
          <w:rFonts w:hint="eastAsia" w:ascii="宋体" w:hAnsi="宋体"/>
          <w:sz w:val="21"/>
          <w:szCs w:val="21"/>
          <w:highlight w:val="none"/>
          <w:lang w:val="en-US" w:eastAsia="zh-CN"/>
        </w:rPr>
        <w:t>500</w:t>
      </w:r>
      <w:r>
        <w:rPr>
          <w:rFonts w:hint="eastAsia" w:ascii="宋体" w:hAnsi="宋体"/>
          <w:sz w:val="21"/>
          <w:szCs w:val="21"/>
          <w:highlight w:val="none"/>
        </w:rPr>
        <w:t>万元的</w:t>
      </w:r>
      <w:r>
        <w:rPr>
          <w:rFonts w:hint="eastAsia" w:ascii="宋体" w:hAnsi="宋体"/>
          <w:sz w:val="21"/>
          <w:szCs w:val="21"/>
          <w:highlight w:val="none"/>
          <w:lang w:val="en-US" w:eastAsia="zh-CN"/>
        </w:rPr>
        <w:t>房屋建筑</w:t>
      </w:r>
      <w:r>
        <w:rPr>
          <w:rFonts w:hint="eastAsia" w:ascii="宋体" w:hAnsi="宋体"/>
          <w:sz w:val="21"/>
          <w:szCs w:val="21"/>
          <w:highlight w:val="none"/>
        </w:rPr>
        <w:t>工程</w:t>
      </w:r>
      <w:r>
        <w:rPr>
          <w:rFonts w:hint="eastAsia" w:ascii="宋体" w:hAnsi="宋体"/>
          <w:sz w:val="21"/>
          <w:szCs w:val="21"/>
          <w:highlight w:val="none"/>
          <w:lang w:val="en-US" w:eastAsia="zh-CN"/>
        </w:rPr>
        <w:t>监理业绩（提供业绩的合同或者定案表扫描件或影印件）；</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4.本项目拟任</w:t>
      </w:r>
      <w:r>
        <w:rPr>
          <w:rFonts w:hint="eastAsia"/>
          <w:highlight w:val="none"/>
          <w:lang w:val="en-US" w:eastAsia="zh-CN"/>
        </w:rPr>
        <w:t>项目总监：具有国家级注册监理工程师证书；</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本项目不接受联合体</w:t>
      </w:r>
      <w:r>
        <w:rPr>
          <w:rFonts w:hint="eastAsia" w:ascii="宋体" w:hAnsi="宋体" w:cs="宋体"/>
          <w:sz w:val="24"/>
          <w:szCs w:val="24"/>
          <w:highlight w:val="none"/>
          <w:lang w:eastAsia="zh-CN"/>
        </w:rPr>
        <w:t>。</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13:00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并发参审文件至邮件至联系人邮箱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下午13</w:t>
      </w:r>
      <w:r>
        <w:rPr>
          <w:rFonts w:hint="eastAsia" w:ascii="宋体" w:hAnsi="宋体" w:cs="宋体"/>
          <w:color w:val="auto"/>
          <w:sz w:val="24"/>
          <w:szCs w:val="24"/>
          <w:highlight w:val="none"/>
          <w:lang w:val="en-US" w:eastAsia="zh-CN"/>
        </w:rPr>
        <w:t>:00</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highlight w:val="none"/>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许工</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rPr>
          <w:rStyle w:val="21"/>
          <w:rFonts w:hint="eastAsia" w:ascii="宋体" w:hAnsi="宋体" w:eastAsia="宋体" w:cs="宋体"/>
          <w:b/>
          <w:bCs/>
          <w:sz w:val="30"/>
          <w:szCs w:val="30"/>
          <w:highlight w:val="none"/>
          <w:lang w:val="en-US" w:eastAsia="zh-CN"/>
        </w:rPr>
      </w:pPr>
      <w:r>
        <w:rPr>
          <w:rFonts w:hint="eastAsia" w:ascii="宋体" w:hAnsi="宋体" w:cs="宋体"/>
          <w:bCs/>
          <w:sz w:val="24"/>
          <w:szCs w:val="24"/>
          <w:highlight w:val="none"/>
          <w:lang w:val="en-US" w:eastAsia="zh-CN"/>
        </w:rPr>
        <w:br w:type="page"/>
      </w:r>
      <w:bookmarkStart w:id="1" w:name="_Toc220232390"/>
      <w:bookmarkStart w:id="2" w:name="_Toc20903"/>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pageBreakBefore w:val="0"/>
        <w:widowControl w:val="0"/>
        <w:numPr>
          <w:ilvl w:val="0"/>
          <w:numId w:val="2"/>
        </w:numPr>
        <w:kinsoku/>
        <w:wordWrap/>
        <w:overflowPunct/>
        <w:topLinePunct w:val="0"/>
        <w:autoSpaceDE w:val="0"/>
        <w:autoSpaceDN w:val="0"/>
        <w:bidi w:val="0"/>
        <w:snapToGrid/>
        <w:spacing w:line="360" w:lineRule="auto"/>
        <w:ind w:firstLine="480"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kern w:val="0"/>
          <w:sz w:val="24"/>
          <w:szCs w:val="24"/>
          <w:highlight w:val="none"/>
        </w:rPr>
        <w:t>本项目包括但不限于以下内容：刘同兴隆庄展馆提升改造项目</w:t>
      </w:r>
      <w:r>
        <w:rPr>
          <w:rFonts w:hint="eastAsia" w:asciiTheme="minorEastAsia" w:hAnsiTheme="minorEastAsia" w:eastAsiaTheme="minorEastAsia" w:cstheme="minorEastAsia"/>
          <w:kern w:val="0"/>
          <w:sz w:val="24"/>
          <w:szCs w:val="24"/>
          <w:highlight w:val="none"/>
          <w:lang w:val="en-US" w:eastAsia="zh-CN"/>
        </w:rPr>
        <w:t>监理</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w:t>
      </w:r>
      <w:r>
        <w:rPr>
          <w:rFonts w:hint="eastAsia" w:asciiTheme="minorEastAsia" w:hAnsiTheme="minorEastAsia" w:eastAsiaTheme="minorEastAsia" w:cstheme="minorEastAsia"/>
          <w:sz w:val="24"/>
          <w:szCs w:val="24"/>
          <w:highlight w:val="none"/>
          <w:lang w:val="en-US" w:eastAsia="zh-CN"/>
        </w:rPr>
        <w:t>竣工验收合格后支付合同价80%，工程结算审定后支付合同价的100%。</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07</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24</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07</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27</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日1</w:t>
      </w:r>
      <w:r>
        <w:rPr>
          <w:rStyle w:val="20"/>
          <w:rFonts w:hint="eastAsia" w:ascii="宋体" w:hAnsi="宋体"/>
          <w:b/>
          <w:bCs w:val="0"/>
          <w:i w:val="0"/>
          <w:caps w:val="0"/>
          <w:color w:val="auto"/>
          <w:spacing w:val="0"/>
          <w:w w:val="100"/>
          <w:kern w:val="0"/>
          <w:sz w:val="24"/>
          <w:szCs w:val="24"/>
          <w:highlight w:val="none"/>
          <w:u w:val="none"/>
          <w:lang w:val="en-US" w:eastAsia="zh-CN" w:bidi="ar-SA"/>
        </w:rPr>
        <w:t>3</w:t>
      </w:r>
      <w:bookmarkStart w:id="39" w:name="_GoBack"/>
      <w:bookmarkEnd w:id="39"/>
      <w:r>
        <w:rPr>
          <w:rStyle w:val="20"/>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5"/>
        <w:rPr>
          <w:rFonts w:hint="eastAsia"/>
          <w:highlight w:val="none"/>
          <w:lang w:val="en-US" w:eastAsia="zh-CN"/>
        </w:rPr>
      </w:pPr>
    </w:p>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hAnsi="宋体" w:cs="宋体"/>
          <w:bCs/>
          <w:sz w:val="24"/>
          <w:szCs w:val="24"/>
          <w:highlight w:val="none"/>
          <w:lang w:val="en-US" w:eastAsia="zh-CN"/>
        </w:rPr>
      </w:pPr>
      <w:r>
        <w:rPr>
          <w:rFonts w:hint="eastAsia" w:hAnsi="宋体" w:cs="宋体"/>
          <w:bCs/>
          <w:sz w:val="24"/>
          <w:szCs w:val="24"/>
          <w:highlight w:val="none"/>
          <w:lang w:val="en-US" w:eastAsia="zh-CN"/>
        </w:rPr>
        <w:t>3、必须同时满足以下三个条件的为预中标人。</w:t>
      </w:r>
    </w:p>
    <w:p>
      <w:pPr>
        <w:spacing w:line="360" w:lineRule="auto"/>
        <w:ind w:firstLine="435"/>
        <w:rPr>
          <w:rFonts w:hint="eastAsia" w:eastAsia="宋体"/>
          <w:highlight w:val="none"/>
          <w:lang w:val="en-US" w:eastAsia="zh-CN"/>
        </w:rPr>
      </w:pPr>
      <w:r>
        <w:rPr>
          <w:rFonts w:hint="eastAsia" w:hAnsi="宋体" w:cs="宋体"/>
          <w:bCs/>
          <w:color w:val="auto"/>
          <w:sz w:val="24"/>
          <w:szCs w:val="24"/>
          <w:highlight w:val="none"/>
          <w:lang w:val="en-US" w:eastAsia="zh-CN"/>
        </w:rPr>
        <w:t>（1）必须低于拦标价；（2）必须最接近且低于所有有效投标价的算术平均值；（3）必</w:t>
      </w:r>
      <w:r>
        <w:rPr>
          <w:rFonts w:hint="eastAsia" w:hAnsi="宋体" w:cs="宋体"/>
          <w:bCs/>
          <w:sz w:val="24"/>
          <w:szCs w:val="24"/>
          <w:highlight w:val="none"/>
          <w:lang w:val="en-US" w:eastAsia="zh-CN"/>
        </w:rPr>
        <w:t>须同时有三家及以上有效投标单位参与竞标。</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19045391"/>
      <w:bookmarkStart w:id="8" w:name="_Hlt509738509"/>
      <w:bookmarkStart w:id="9" w:name="_Hlt509738521"/>
    </w:p>
    <w:p>
      <w:pPr>
        <w:jc w:val="center"/>
        <w:rPr>
          <w:rFonts w:hint="eastAsia" w:ascii="宋体" w:hAnsi="宋体" w:cs="宋体"/>
          <w:b/>
          <w:sz w:val="44"/>
          <w:szCs w:val="44"/>
          <w:highlight w:val="none"/>
          <w:lang w:val="en-US" w:eastAsia="zh-CN"/>
        </w:rPr>
      </w:pPr>
      <w:r>
        <w:rPr>
          <w:rFonts w:hint="eastAsia" w:ascii="宋体" w:hAnsi="宋体" w:cs="宋体"/>
          <w:b/>
          <w:sz w:val="44"/>
          <w:szCs w:val="44"/>
          <w:highlight w:val="none"/>
          <w:lang w:val="en-US" w:eastAsia="zh-CN"/>
        </w:rPr>
        <w:t>刘同兴隆庄展馆提升改造项目监理</w:t>
      </w:r>
    </w:p>
    <w:p>
      <w:pPr>
        <w:pStyle w:val="2"/>
        <w:rPr>
          <w:rFonts w:hint="default"/>
          <w:lang w:val="en-US" w:eastAsia="zh-CN"/>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2023</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5"/>
        <w:rPr>
          <w:rFonts w:hint="eastAsia" w:cs="宋体"/>
          <w:sz w:val="28"/>
          <w:szCs w:val="28"/>
          <w:highlight w:val="none"/>
        </w:rPr>
      </w:pPr>
    </w:p>
    <w:p>
      <w:pPr>
        <w:pStyle w:val="2"/>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33409360"/>
      <w:bookmarkEnd w:id="10"/>
      <w:bookmarkStart w:id="11" w:name="_Hlt509716873"/>
      <w:bookmarkEnd w:id="11"/>
      <w:bookmarkStart w:id="12" w:name="_Hlt533408916"/>
      <w:bookmarkEnd w:id="12"/>
      <w:bookmarkStart w:id="13" w:name="_Hlt519045798"/>
      <w:bookmarkEnd w:id="13"/>
      <w:bookmarkStart w:id="14" w:name="_Hlt533408409"/>
      <w:bookmarkEnd w:id="14"/>
      <w:bookmarkStart w:id="15" w:name="_Toc13084"/>
      <w:bookmarkStart w:id="16" w:name="_Toc516969097"/>
      <w:bookmarkStart w:id="17"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4"/>
              <w:spacing w:before="120" w:beforeLines="0" w:line="360" w:lineRule="auto"/>
              <w:ind w:firstLine="0"/>
              <w:jc w:val="center"/>
              <w:rPr>
                <w:rFonts w:hint="default" w:ascii="宋体" w:hAnsi="宋体" w:cs="宋体"/>
                <w:bCs/>
                <w:sz w:val="28"/>
                <w:szCs w:val="28"/>
                <w:highlight w:val="none"/>
                <w:u w:val="single"/>
                <w:lang w:val="en-US"/>
              </w:rPr>
            </w:pPr>
            <w:r>
              <w:rPr>
                <w:rFonts w:hint="eastAsia" w:ascii="宋体" w:hAnsi="宋体" w:cs="宋体"/>
                <w:bCs/>
                <w:sz w:val="36"/>
                <w:szCs w:val="36"/>
                <w:highlight w:val="none"/>
                <w:u w:val="none"/>
                <w:lang w:eastAsia="zh-CN"/>
              </w:rPr>
              <w:t>刘同兴隆庄展馆提升改造项目</w:t>
            </w:r>
            <w:r>
              <w:rPr>
                <w:rFonts w:hint="eastAsia" w:ascii="宋体" w:hAnsi="宋体" w:cs="宋体"/>
                <w:bCs/>
                <w:sz w:val="36"/>
                <w:szCs w:val="36"/>
                <w:highlight w:val="none"/>
                <w:u w:val="none"/>
                <w:lang w:val="en-US" w:eastAsia="zh-CN"/>
              </w:rPr>
              <w:t>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p>
    <w:bookmarkEnd w:id="16"/>
    <w:p>
      <w:pPr>
        <w:pStyle w:val="11"/>
        <w:rPr>
          <w:rFonts w:hint="eastAsia"/>
          <w:highlight w:val="none"/>
          <w:lang w:val="en-US" w:eastAsia="zh-CN"/>
        </w:rPr>
      </w:pPr>
      <w:bookmarkStart w:id="18" w:name="_Toc6245"/>
      <w:bookmarkStart w:id="19" w:name="_Toc19990"/>
      <w:bookmarkStart w:id="20" w:name="_Toc500337339"/>
    </w:p>
    <w:p>
      <w:pPr>
        <w:pStyle w:val="2"/>
        <w:spacing w:before="0" w:beforeLines="0" w:after="0" w:afterLines="0" w:line="440" w:lineRule="atLeas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18"/>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084"/>
      <w:bookmarkStart w:id="22" w:name="_Toc535241227"/>
      <w:bookmarkStart w:id="23" w:name="_Toc535241130"/>
      <w:bookmarkStart w:id="24" w:name="_Toc224103497"/>
      <w:bookmarkStart w:id="25" w:name="_Toc224103498"/>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2"/>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7"/>
        <w:rPr>
          <w:rFonts w:hint="eastAsia"/>
          <w:highlight w:val="none"/>
          <w:lang w:val="en-US" w:eastAsia="zh-CN"/>
        </w:rPr>
      </w:pPr>
    </w:p>
    <w:p>
      <w:pPr>
        <w:pStyle w:val="2"/>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9"/>
      <w:bookmarkEnd w:id="20"/>
    </w:p>
    <w:p>
      <w:pPr>
        <w:pStyle w:val="8"/>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cs="宋体"/>
          <w:sz w:val="24"/>
          <w:szCs w:val="24"/>
          <w:highlight w:val="none"/>
        </w:rPr>
        <w:t>“</w:t>
      </w:r>
      <w:r>
        <w:rPr>
          <w:rFonts w:hint="eastAsia" w:ascii="宋体" w:hAnsi="宋体" w:cs="宋体"/>
          <w:sz w:val="24"/>
          <w:szCs w:val="24"/>
          <w:highlight w:val="none"/>
          <w:u w:val="none"/>
        </w:rPr>
        <w:t xml:space="preserve"> </w:t>
      </w:r>
      <w:r>
        <w:rPr>
          <w:rFonts w:hint="eastAsia" w:ascii="宋体" w:hAnsi="宋体" w:cs="宋体"/>
          <w:sz w:val="24"/>
          <w:szCs w:val="24"/>
          <w:highlight w:val="none"/>
          <w:u w:val="single"/>
          <w:lang w:eastAsia="zh-CN"/>
        </w:rPr>
        <w:t>刘同兴隆庄展馆提升改造项目</w:t>
      </w:r>
      <w:r>
        <w:rPr>
          <w:rFonts w:hint="eastAsia" w:ascii="宋体" w:hAnsi="宋体" w:cs="宋体"/>
          <w:sz w:val="24"/>
          <w:szCs w:val="24"/>
          <w:highlight w:val="none"/>
          <w:u w:val="single"/>
          <w:lang w:val="en-US" w:eastAsia="zh-CN"/>
        </w:rPr>
        <w:t>监理</w:t>
      </w:r>
      <w:r>
        <w:rPr>
          <w:rFonts w:hint="eastAsia" w:ascii="宋体" w:hAnsi="宋体" w:cs="宋体"/>
          <w:sz w:val="24"/>
          <w:szCs w:val="24"/>
          <w:highlight w:val="none"/>
          <w:u w:val="none"/>
        </w:rPr>
        <w:t>”</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2"/>
        <w:spacing w:before="120" w:beforeLines="0" w:after="120" w:afterLines="0" w:line="360" w:lineRule="auto"/>
        <w:rPr>
          <w:rFonts w:hint="eastAsia" w:hAnsi="宋体" w:cs="宋体"/>
          <w:sz w:val="28"/>
          <w:szCs w:val="28"/>
          <w:highlight w:val="none"/>
        </w:rPr>
      </w:pPr>
      <w:bookmarkStart w:id="26" w:name="_Hlt514495724"/>
      <w:bookmarkEnd w:id="26"/>
      <w:bookmarkStart w:id="27" w:name="_Hlt53340894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19826"/>
      <w:bookmarkStart w:id="30" w:name="_Toc500337343"/>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9"/>
      <w:bookmarkEnd w:id="30"/>
      <w:bookmarkStart w:id="31" w:name="_Toc26965"/>
      <w:bookmarkStart w:id="32" w:name="_Toc220232402"/>
      <w:bookmarkStart w:id="33" w:name="_Toc516969105"/>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122185"/>
      <w:bookmarkStart w:id="35" w:name="_Toc396317511"/>
      <w:bookmarkStart w:id="36" w:name="_Toc500337346"/>
      <w:bookmarkStart w:id="37" w:name="_Toc17338"/>
      <w:bookmarkStart w:id="38" w:name="_Toc220232403"/>
    </w:p>
    <w:p>
      <w:pPr>
        <w:pStyle w:val="2"/>
        <w:rPr>
          <w:rFonts w:hint="eastAsia" w:hAnsi="宋体" w:cs="宋体"/>
          <w:sz w:val="28"/>
          <w:szCs w:val="28"/>
          <w:highlight w:val="none"/>
          <w:lang w:val="en-US" w:eastAsia="zh-CN"/>
        </w:rPr>
      </w:pPr>
    </w:p>
    <w:p>
      <w:pPr>
        <w:rPr>
          <w:rFonts w:hint="eastAsia"/>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headerReference r:id="rId3" w:type="default"/>
      <w:footerReference r:id="rId4" w:type="default"/>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mQzMmZmMjBhYzlhMTM0NTBiNzkzNzg4YmJlMWEifQ=="/>
  </w:docVars>
  <w:rsids>
    <w:rsidRoot w:val="00000000"/>
    <w:rsid w:val="001B3A0B"/>
    <w:rsid w:val="009B7CF9"/>
    <w:rsid w:val="03911466"/>
    <w:rsid w:val="03D177E1"/>
    <w:rsid w:val="04526E7B"/>
    <w:rsid w:val="081952B3"/>
    <w:rsid w:val="099F10DB"/>
    <w:rsid w:val="0E033F7A"/>
    <w:rsid w:val="0E4775D9"/>
    <w:rsid w:val="0EE91E83"/>
    <w:rsid w:val="135056C8"/>
    <w:rsid w:val="13C47160"/>
    <w:rsid w:val="140C4DDD"/>
    <w:rsid w:val="146E4BD8"/>
    <w:rsid w:val="158F4327"/>
    <w:rsid w:val="175054C9"/>
    <w:rsid w:val="182C1032"/>
    <w:rsid w:val="1B841D1D"/>
    <w:rsid w:val="1BF22A8E"/>
    <w:rsid w:val="1CDD28FB"/>
    <w:rsid w:val="23A62190"/>
    <w:rsid w:val="23E028CC"/>
    <w:rsid w:val="26356BAE"/>
    <w:rsid w:val="290D27BA"/>
    <w:rsid w:val="292559B5"/>
    <w:rsid w:val="2BB71AA6"/>
    <w:rsid w:val="2D3A48A4"/>
    <w:rsid w:val="2D9537AF"/>
    <w:rsid w:val="30DE4562"/>
    <w:rsid w:val="39AB1468"/>
    <w:rsid w:val="3A587E8F"/>
    <w:rsid w:val="3C72614E"/>
    <w:rsid w:val="3E1901BE"/>
    <w:rsid w:val="403C5749"/>
    <w:rsid w:val="4374368A"/>
    <w:rsid w:val="449E1DC3"/>
    <w:rsid w:val="47C040BF"/>
    <w:rsid w:val="48044450"/>
    <w:rsid w:val="48536283"/>
    <w:rsid w:val="48811DCD"/>
    <w:rsid w:val="4A2000F0"/>
    <w:rsid w:val="4A7D1684"/>
    <w:rsid w:val="4C113543"/>
    <w:rsid w:val="4DD50B0D"/>
    <w:rsid w:val="4EB85956"/>
    <w:rsid w:val="54A70F6B"/>
    <w:rsid w:val="567F608E"/>
    <w:rsid w:val="56AC378C"/>
    <w:rsid w:val="57D87E20"/>
    <w:rsid w:val="5C0629E9"/>
    <w:rsid w:val="5CFE5FDA"/>
    <w:rsid w:val="60A14592"/>
    <w:rsid w:val="64A5505E"/>
    <w:rsid w:val="6597619F"/>
    <w:rsid w:val="6608232F"/>
    <w:rsid w:val="66EF67B7"/>
    <w:rsid w:val="68816AA3"/>
    <w:rsid w:val="6D147674"/>
    <w:rsid w:val="6D9A2DFC"/>
    <w:rsid w:val="7135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2">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5">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rPr>
      <w:rFonts w:ascii="宋体" w:hAnsi="Arial"/>
      <w:sz w:val="28"/>
    </w:rPr>
  </w:style>
  <w:style w:type="paragraph" w:styleId="8">
    <w:name w:val="Date"/>
    <w:basedOn w:val="1"/>
    <w:next w:val="1"/>
    <w:qFormat/>
    <w:uiPriority w:val="0"/>
    <w:rPr>
      <w:b/>
      <w:kern w:val="2"/>
      <w:sz w:val="28"/>
    </w:rPr>
  </w:style>
  <w:style w:type="paragraph" w:styleId="9">
    <w:name w:val="Body Text Indent"/>
    <w:basedOn w:val="1"/>
    <w:next w:val="10"/>
    <w:qFormat/>
    <w:uiPriority w:val="0"/>
    <w:pPr>
      <w:ind w:firstLine="645"/>
    </w:pPr>
    <w:rPr>
      <w:rFonts w:ascii="楷体_GB2312" w:eastAsia="楷体_GB2312"/>
      <w:kern w:val="2"/>
      <w:sz w:val="32"/>
      <w:lang w:val="en-US" w:eastAsia="zh-CN" w:bidi="ar-SA"/>
    </w:rPr>
  </w:style>
  <w:style w:type="paragraph" w:styleId="10">
    <w:name w:val="envelope return"/>
    <w:basedOn w:val="1"/>
    <w:qFormat/>
    <w:uiPriority w:val="0"/>
    <w:pPr>
      <w:snapToGrid w:val="0"/>
    </w:pPr>
    <w:rPr>
      <w:rFonts w:ascii="Arial" w:hAnsi="Arial"/>
    </w:rPr>
  </w:style>
  <w:style w:type="paragraph" w:styleId="11">
    <w:name w:val="Body Text Indent 2"/>
    <w:basedOn w:val="1"/>
    <w:qFormat/>
    <w:uiPriority w:val="0"/>
    <w:pPr>
      <w:spacing w:line="360" w:lineRule="exact"/>
      <w:ind w:firstLine="600" w:firstLineChars="250"/>
      <w:jc w:val="left"/>
    </w:pPr>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9"/>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4194</Words>
  <Characters>4376</Characters>
  <Lines>0</Lines>
  <Paragraphs>0</Paragraphs>
  <TotalTime>5</TotalTime>
  <ScaleCrop>false</ScaleCrop>
  <LinksUpToDate>false</LinksUpToDate>
  <CharactersWithSpaces>5247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流浪诗人ゞ</cp:lastModifiedBy>
  <dcterms:modified xsi:type="dcterms:W3CDTF">2023-07-25T00:36:47Z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A6AD608AB6A5492EB3A4CD3F3F85539B_13</vt:lpwstr>
  </property>
</Properties>
</file>