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44"/>
          <w:szCs w:val="44"/>
          <w:highlight w:val="none"/>
          <w:lang w:val="en-US" w:eastAsia="zh-CN"/>
        </w:rPr>
        <w:t>三河古镇三河口临时停车场项目设计</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7"/>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黑体" w:hAnsi="宋体" w:eastAsia="黑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年</w:t>
      </w:r>
      <w:r>
        <w:rPr>
          <w:rFonts w:hint="eastAsia" w:ascii="黑体" w:hAnsi="宋体" w:eastAsia="黑体"/>
          <w:sz w:val="32"/>
          <w:szCs w:val="32"/>
          <w:highlight w:val="none"/>
          <w:lang w:val="en-US" w:eastAsia="zh-CN"/>
        </w:rPr>
        <w:t>7</w:t>
      </w:r>
      <w:r>
        <w:rPr>
          <w:rFonts w:hint="eastAsia" w:ascii="黑体" w:hAnsi="宋体" w:eastAsia="黑体"/>
          <w:sz w:val="32"/>
          <w:szCs w:val="32"/>
          <w:highlight w:val="none"/>
        </w:rPr>
        <w:t>月</w:t>
      </w:r>
    </w:p>
    <w:p>
      <w:pPr>
        <w:pStyle w:val="16"/>
        <w:rPr>
          <w:rFonts w:hint="eastAsia" w:ascii="宋体" w:hAnsi="宋体"/>
          <w:sz w:val="32"/>
          <w:szCs w:val="32"/>
          <w:highlight w:val="none"/>
        </w:rPr>
      </w:pPr>
    </w:p>
    <w:p>
      <w:pPr>
        <w:pStyle w:val="14"/>
        <w:rPr>
          <w:rFonts w:hint="eastAsia"/>
        </w:rPr>
      </w:pPr>
    </w:p>
    <w:p>
      <w:pPr>
        <w:rPr>
          <w:rStyle w:val="21"/>
          <w:rFonts w:hint="eastAsia" w:ascii="宋体" w:hAnsi="宋体" w:eastAsia="宋体" w:cs="宋体"/>
          <w:b/>
          <w:bCs/>
          <w:sz w:val="30"/>
          <w:szCs w:val="30"/>
          <w:highlight w:val="none"/>
          <w:lang w:val="en-US" w:eastAsia="zh-CN"/>
        </w:rPr>
      </w:pPr>
      <w:r>
        <w:rPr>
          <w:rStyle w:val="21"/>
          <w:rFonts w:hint="eastAsia" w:ascii="宋体" w:hAnsi="宋体" w:eastAsia="宋体" w:cs="宋体"/>
          <w:b/>
          <w:bCs/>
          <w:sz w:val="30"/>
          <w:szCs w:val="30"/>
          <w:highlight w:val="none"/>
          <w:lang w:val="en-US" w:eastAsia="zh-CN"/>
        </w:rPr>
        <w:br w:type="page"/>
      </w: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三河古镇三河口临时停车场项目设计</w:t>
      </w:r>
      <w:r>
        <w:rPr>
          <w:rFonts w:hint="eastAsia" w:ascii="宋体" w:hAnsi="宋体" w:cs="宋体"/>
          <w:sz w:val="24"/>
          <w:szCs w:val="24"/>
          <w:highlight w:val="none"/>
          <w:lang w:eastAsia="zh-CN"/>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left="719" w:leftChars="228" w:hanging="240" w:hangingChars="100"/>
        <w:jc w:val="left"/>
        <w:rPr>
          <w:rFonts w:hint="eastAsia" w:ascii="宋体" w:hAnsi="宋体" w:cs="宋体"/>
          <w:sz w:val="24"/>
          <w:szCs w:val="24"/>
          <w:highlight w:val="none"/>
          <w:u w:val="none"/>
          <w:lang w:val="en-US"/>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CN"/>
        </w:rPr>
        <w:t>三河古镇三河口临时停车场项目设计</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肥西县三河镇</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numPr>
          <w:ilvl w:val="0"/>
          <w:numId w:val="0"/>
        </w:num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概况：地块总面积约106.4亩,其中临时停车场设计占地面积约32800平方米(约49.18亩)，水泥硬化面积约32800平方米，剩余地块计划进行填土加高。停车位划线1091个（沥青场地划线），停车场围墙为650米铁艺围墙结合265米砖砌围墙。</w:t>
      </w:r>
    </w:p>
    <w:p>
      <w:pPr>
        <w:numPr>
          <w:ilvl w:val="0"/>
          <w:numId w:val="0"/>
        </w:num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招标范围：本项目总投资预算不超过1300万元，限额设计。包括不限于1.从方案设计到施工图深化全过程设计；2.设计全过程所有审批环节的论证、评审、评估工作（含发生的所有费用）3.施工过程中的全过程设计服务，直至项目竣工验收合格整体移交。</w:t>
      </w:r>
    </w:p>
    <w:p>
      <w:pPr>
        <w:numPr>
          <w:ilvl w:val="0"/>
          <w:numId w:val="0"/>
        </w:numPr>
        <w:autoSpaceDE w:val="0"/>
        <w:autoSpaceDN w:val="0"/>
        <w:adjustRightInd w:val="0"/>
        <w:spacing w:line="360" w:lineRule="auto"/>
        <w:ind w:firstLine="480" w:firstLineChars="200"/>
        <w:jc w:val="left"/>
        <w:rPr>
          <w:rFonts w:hint="default"/>
          <w:highlight w:val="none"/>
          <w:lang w:val="en-US" w:eastAsia="zh-CN"/>
        </w:rPr>
      </w:pPr>
      <w:r>
        <w:rPr>
          <w:rFonts w:hint="eastAsia" w:ascii="宋体" w:hAnsi="宋体" w:cs="宋体"/>
          <w:sz w:val="24"/>
          <w:szCs w:val="24"/>
          <w:highlight w:val="none"/>
          <w:lang w:val="en-US" w:eastAsia="zh-CN"/>
        </w:rPr>
        <w:t>项目总工期为20天，</w:t>
      </w:r>
      <w:r>
        <w:rPr>
          <w:rFonts w:hint="eastAsia" w:ascii="宋体" w:hAnsi="宋体" w:eastAsia="宋体" w:cs="宋体"/>
          <w:sz w:val="24"/>
          <w:szCs w:val="24"/>
          <w:highlight w:val="none"/>
          <w:lang w:val="en-US" w:eastAsia="zh-CN"/>
        </w:rPr>
        <w:t>方案设计1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天，施工图设计（</w:t>
      </w:r>
      <w:r>
        <w:rPr>
          <w:rFonts w:hint="eastAsia" w:ascii="宋体" w:hAnsi="宋体" w:cs="宋体"/>
          <w:sz w:val="24"/>
          <w:szCs w:val="24"/>
          <w:highlight w:val="none"/>
          <w:lang w:val="en-US" w:eastAsia="zh-CN"/>
        </w:rPr>
        <w:t>取得</w:t>
      </w:r>
      <w:r>
        <w:rPr>
          <w:rFonts w:hint="eastAsia" w:ascii="宋体" w:hAnsi="宋体" w:eastAsia="宋体" w:cs="宋体"/>
          <w:sz w:val="24"/>
          <w:szCs w:val="24"/>
          <w:highlight w:val="none"/>
          <w:lang w:val="en-US" w:eastAsia="zh-CN"/>
        </w:rPr>
        <w:t>审图</w:t>
      </w:r>
      <w:r>
        <w:rPr>
          <w:rFonts w:hint="eastAsia" w:ascii="宋体" w:hAnsi="宋体" w:cs="宋体"/>
          <w:sz w:val="24"/>
          <w:szCs w:val="24"/>
          <w:highlight w:val="none"/>
          <w:lang w:val="en-US" w:eastAsia="zh-CN"/>
        </w:rPr>
        <w:t>合格证</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天。</w:t>
      </w:r>
    </w:p>
    <w:p>
      <w:pPr>
        <w:numPr>
          <w:ilvl w:val="0"/>
          <w:numId w:val="1"/>
        </w:numPr>
        <w:autoSpaceDE w:val="0"/>
        <w:autoSpaceDN w:val="0"/>
        <w:adjustRightInd w:val="0"/>
        <w:spacing w:line="360" w:lineRule="auto"/>
        <w:ind w:firstLine="480" w:firstLineChars="200"/>
        <w:jc w:val="left"/>
        <w:rPr>
          <w:rFonts w:hint="default"/>
          <w:lang w:val="en-US" w:eastAsia="zh-CN"/>
        </w:rPr>
      </w:pPr>
      <w:r>
        <w:rPr>
          <w:rFonts w:hint="eastAsia" w:ascii="宋体" w:hAnsi="宋体" w:cs="宋体"/>
          <w:sz w:val="24"/>
          <w:szCs w:val="24"/>
          <w:highlight w:val="none"/>
        </w:rPr>
        <w:t>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20万元（本项目为固定报价）</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：服务类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2、具有有效的三证合一营业执照(或营业执照、组织机构代码证、税务登记证）</w:t>
      </w:r>
      <w:r>
        <w:rPr>
          <w:rFonts w:hint="eastAsia" w:ascii="宋体" w:hAnsi="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3、资质</w:t>
      </w:r>
      <w:r>
        <w:rPr>
          <w:rFonts w:hint="eastAsia" w:ascii="宋体" w:hAnsi="宋体" w:cs="宋体"/>
          <w:sz w:val="24"/>
          <w:szCs w:val="24"/>
          <w:highlight w:val="none"/>
          <w:lang w:val="en-US" w:eastAsia="zh-CN"/>
        </w:rPr>
        <w:t>要求</w:t>
      </w:r>
      <w:r>
        <w:rPr>
          <w:rFonts w:hint="eastAsia" w:ascii="宋体" w:hAnsi="宋体" w:eastAsia="宋体" w:cs="宋体"/>
          <w:sz w:val="24"/>
          <w:szCs w:val="24"/>
          <w:highlight w:val="none"/>
          <w:lang w:val="en-US" w:eastAsia="zh-CN"/>
        </w:rPr>
        <w:t>：满足下列条件之一：①工程设计综合甲级资质；②市政行业（道路工程和排水工程）专业乙级及以上设计资质；③市政行业乙级及以上设计资质</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12:00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2"/>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w:t>
      </w:r>
      <w:r>
        <w:rPr>
          <w:rFonts w:hint="eastAsia" w:ascii="宋体" w:hAnsi="宋体" w:cs="宋体"/>
          <w:sz w:val="24"/>
          <w:szCs w:val="24"/>
          <w:highlight w:val="none"/>
          <w:lang w:val="en-US" w:eastAsia="zh-CN"/>
        </w:rPr>
        <w:t>邮件至联系人邮箱即为报名成功</w:t>
      </w:r>
      <w:r>
        <w:rPr>
          <w:rFonts w:hint="eastAsia" w:ascii="宋体" w:hAnsi="宋体" w:eastAsia="宋体" w:cs="宋体"/>
          <w:color w:val="auto"/>
          <w:sz w:val="24"/>
          <w:szCs w:val="24"/>
          <w:highlight w:val="none"/>
          <w:lang w:val="en-US"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下午15点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w:t>
      </w:r>
      <w:r>
        <w:rPr>
          <w:rFonts w:hint="eastAsia" w:ascii="宋体" w:hAnsi="宋体" w:eastAsia="宋体" w:cs="宋体"/>
          <w:color w:val="auto"/>
          <w:kern w:val="0"/>
          <w:sz w:val="24"/>
          <w:szCs w:val="24"/>
          <w:highlight w:val="none"/>
          <w:lang w:val="en-US" w:eastAsia="zh-CN"/>
        </w:rPr>
        <w:t>司。</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en-US" w:eastAsia="zh-CN"/>
        </w:rPr>
        <w:t>许工</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电话：0551-68757116</w:t>
      </w:r>
    </w:p>
    <w:p>
      <w:pPr>
        <w:rPr>
          <w:rStyle w:val="21"/>
          <w:rFonts w:hint="eastAsia" w:ascii="宋体" w:hAnsi="宋体" w:eastAsia="宋体" w:cs="宋体"/>
          <w:b/>
          <w:bCs/>
          <w:sz w:val="30"/>
          <w:szCs w:val="30"/>
          <w:highlight w:val="none"/>
          <w:lang w:val="en-US" w:eastAsia="zh-CN"/>
        </w:rPr>
      </w:pPr>
      <w:bookmarkStart w:id="1" w:name="_Toc220232390"/>
      <w:bookmarkStart w:id="2" w:name="_Toc20903"/>
      <w:r>
        <w:rPr>
          <w:rStyle w:val="21"/>
          <w:rFonts w:hint="eastAsia" w:ascii="宋体" w:hAnsi="宋体" w:eastAsia="宋体" w:cs="宋体"/>
          <w:b/>
          <w:bCs/>
          <w:sz w:val="30"/>
          <w:szCs w:val="30"/>
          <w:highlight w:val="none"/>
          <w:lang w:val="en-US" w:eastAsia="zh-CN"/>
        </w:rPr>
        <w:br w:type="page"/>
      </w:r>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numPr>
          <w:ilvl w:val="0"/>
          <w:numId w:val="0"/>
        </w:numPr>
        <w:autoSpaceDE w:val="0"/>
        <w:autoSpaceDN w:val="0"/>
        <w:adjustRightInd w:val="0"/>
        <w:spacing w:line="360" w:lineRule="auto"/>
        <w:ind w:firstLine="480" w:firstLineChars="200"/>
        <w:jc w:val="left"/>
        <w:rPr>
          <w:rFonts w:hint="default" w:ascii="宋体" w:hAnsi="宋体" w:cs="宋体"/>
          <w:sz w:val="24"/>
          <w:szCs w:val="24"/>
          <w:highlight w:val="yellow"/>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Theme="minorEastAsia" w:hAnsiTheme="minorEastAsia" w:eastAsiaTheme="minorEastAsia" w:cstheme="minorEastAsia"/>
          <w:kern w:val="0"/>
          <w:sz w:val="24"/>
          <w:szCs w:val="24"/>
          <w:highlight w:val="none"/>
          <w:lang w:val="en-US" w:eastAsia="zh-CN"/>
        </w:rPr>
        <w:t>三河古镇三河口临时停车场项目全过程设计。</w:t>
      </w:r>
    </w:p>
    <w:p>
      <w:pPr>
        <w:pageBreakBefore w:val="0"/>
        <w:widowControl w:val="0"/>
        <w:numPr>
          <w:ilvl w:val="0"/>
          <w:numId w:val="0"/>
        </w:numPr>
        <w:kinsoku/>
        <w:wordWrap/>
        <w:overflowPunct/>
        <w:topLinePunct w:val="0"/>
        <w:autoSpaceDE w:val="0"/>
        <w:autoSpaceDN w:val="0"/>
        <w:bidi w:val="0"/>
        <w:snapToGrid/>
        <w:spacing w:line="360" w:lineRule="auto"/>
        <w:ind w:firstLine="482" w:firstLineChars="200"/>
        <w:textAlignment w:val="auto"/>
        <w:rPr>
          <w:rFonts w:hint="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b w:val="0"/>
          <w:bCs w:val="0"/>
          <w:sz w:val="24"/>
          <w:szCs w:val="24"/>
          <w:highlight w:val="none"/>
          <w:lang w:val="en-US" w:eastAsia="zh-CN"/>
        </w:rPr>
        <w:t>第一次：施工图审查合格并取得审图合格证后支付至设计费用的50%；第二次：项目竣工验收合格后支付至设计费用的100%。</w:t>
      </w:r>
    </w:p>
    <w:p>
      <w:pPr>
        <w:pageBreakBefore w:val="0"/>
        <w:widowControl w:val="0"/>
        <w:numPr>
          <w:ilvl w:val="0"/>
          <w:numId w:val="3"/>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b/>
          <w:bCs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Fonts w:hint="eastAsia" w:asciiTheme="minorEastAsia" w:hAnsiTheme="minorEastAsia" w:eastAsiaTheme="minorEastAsia" w:cstheme="minorEastAsia"/>
          <w:b w:val="0"/>
          <w:bCs w:val="0"/>
          <w:kern w:val="2"/>
          <w:sz w:val="24"/>
          <w:szCs w:val="24"/>
          <w:highlight w:val="none"/>
          <w:lang w:val="en-US" w:eastAsia="zh-CN" w:bidi="ar-SA"/>
        </w:rPr>
        <w:t>2023年07月11日-2023年07月14日12:00</w:t>
      </w:r>
      <w:r>
        <w:rPr>
          <w:rFonts w:hint="eastAsia" w:asciiTheme="minorEastAsia" w:hAnsiTheme="minorEastAsia" w:eastAsiaTheme="minorEastAsia" w:cstheme="minorEastAsia"/>
          <w:b w:val="0"/>
          <w:bCs w:val="0"/>
          <w:kern w:val="2"/>
          <w:sz w:val="24"/>
          <w:szCs w:val="24"/>
          <w:highlight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rPr>
          <w:rFonts w:hint="eastAsia"/>
          <w:lang w:val="en-US" w:eastAsia="zh-CN"/>
        </w:rPr>
      </w:pPr>
      <w:r>
        <w:rPr>
          <w:rStyle w:val="20"/>
          <w:rFonts w:hint="eastAsia" w:ascii="宋体" w:hAnsi="宋体"/>
          <w:b/>
          <w:bCs w:val="0"/>
          <w:i w:val="0"/>
          <w:caps w:val="0"/>
          <w:color w:val="auto"/>
          <w:spacing w:val="0"/>
          <w:w w:val="100"/>
          <w:kern w:val="0"/>
          <w:sz w:val="24"/>
          <w:szCs w:val="24"/>
          <w:highlight w:val="none"/>
          <w:u w:val="none"/>
          <w:lang w:val="en-US" w:eastAsia="zh-CN" w:bidi="ar-SA"/>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adjustRightInd w:val="0"/>
        <w:snapToGrid w:val="0"/>
        <w:spacing w:line="360" w:lineRule="auto"/>
        <w:ind w:right="-10" w:firstLine="420" w:firstLineChars="175"/>
        <w:rPr>
          <w:rFonts w:hint="eastAsia" w:hAnsi="宋体" w:cs="宋体"/>
          <w:bCs/>
          <w:sz w:val="24"/>
          <w:szCs w:val="24"/>
          <w:highlight w:val="none"/>
          <w:lang w:val="en-US" w:eastAsia="zh-CN"/>
        </w:rPr>
      </w:pPr>
      <w:r>
        <w:rPr>
          <w:rFonts w:hint="eastAsia" w:hAnsi="宋体" w:cs="宋体"/>
          <w:bCs/>
          <w:sz w:val="24"/>
          <w:szCs w:val="24"/>
          <w:highlight w:val="none"/>
          <w:lang w:val="en-US" w:eastAsia="zh-CN"/>
        </w:rPr>
        <w:t>3、本项目采用综合评估法，以固定总价（本项目定价20万元）的形式进行征集。评委会对满足征集文件初审的参审文件，按照评分标准进行打分，并按得分由高到低顺序确定入选单位。综合评分相等时，以技术得分高的优先；如果技术得分也相等，由评委会按照少数服从多数的原则投票决定。若符合项目条件的参审单位不足规3家的，业主单位有权终止征集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keepNext/>
        <w:keepLines/>
        <w:pageBreakBefore w:val="0"/>
        <w:widowControl w:val="0"/>
        <w:kinsoku/>
        <w:wordWrap/>
        <w:overflowPunct/>
        <w:topLinePunct w:val="0"/>
        <w:autoSpaceDE/>
        <w:autoSpaceDN/>
        <w:bidi w:val="0"/>
        <w:adjustRightInd/>
        <w:snapToGrid/>
        <w:spacing w:before="153" w:beforeLines="50" w:after="153" w:afterLines="50" w:line="360" w:lineRule="auto"/>
        <w:ind w:firstLine="480" w:firstLineChars="200"/>
        <w:jc w:val="both"/>
        <w:textAlignment w:val="auto"/>
        <w:outlineLvl w:val="2"/>
        <w:rPr>
          <w:rFonts w:hint="eastAsia" w:ascii="Times New Roman" w:hAnsi="Times New Roman" w:eastAsia="黑体"/>
          <w:bCs/>
          <w:sz w:val="24"/>
          <w:szCs w:val="24"/>
          <w:highlight w:val="none"/>
          <w:lang w:val="en-US" w:eastAsia="zh-CN"/>
        </w:rPr>
      </w:pPr>
      <w:r>
        <w:rPr>
          <w:rFonts w:hint="eastAsia" w:ascii="Times New Roman" w:hAnsi="Times New Roman" w:eastAsia="黑体"/>
          <w:bCs/>
          <w:sz w:val="24"/>
          <w:szCs w:val="24"/>
          <w:highlight w:val="none"/>
          <w:lang w:val="en-US" w:eastAsia="zh-CN"/>
        </w:rPr>
        <w:t>5、对通过初审的单位进行详细评审</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09"/>
        <w:gridCol w:w="1315"/>
        <w:gridCol w:w="741"/>
        <w:gridCol w:w="6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Cs w:val="21"/>
              </w:rPr>
            </w:pPr>
            <w:r>
              <w:rPr>
                <w:rFonts w:hint="eastAsia"/>
                <w:kern w:val="0"/>
                <w:szCs w:val="21"/>
              </w:rPr>
              <w:t>评审因素</w:t>
            </w:r>
          </w:p>
        </w:tc>
        <w:tc>
          <w:tcPr>
            <w:tcW w:w="4292" w:type="pct"/>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Cs w:val="21"/>
              </w:rPr>
            </w:pPr>
            <w:r>
              <w:rPr>
                <w:rFonts w:hint="eastAsia"/>
                <w:kern w:val="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07" w:type="pct"/>
            <w:vMerge w:val="restart"/>
            <w:tcBorders>
              <w:top w:val="single" w:color="auto" w:sz="4" w:space="0"/>
              <w:right w:val="single" w:color="auto" w:sz="4" w:space="0"/>
            </w:tcBorders>
            <w:vAlign w:val="center"/>
          </w:tcPr>
          <w:p>
            <w:pPr>
              <w:spacing w:line="360" w:lineRule="auto"/>
              <w:jc w:val="center"/>
              <w:rPr>
                <w:rFonts w:ascii="仿宋" w:hAnsi="仿宋" w:eastAsia="仿宋"/>
                <w:szCs w:val="21"/>
              </w:rPr>
            </w:pPr>
            <w:r>
              <w:rPr>
                <w:rFonts w:hint="eastAsia"/>
                <w:kern w:val="0"/>
                <w:szCs w:val="21"/>
              </w:rPr>
              <w:t>商务评分标准3</w:t>
            </w:r>
            <w:r>
              <w:rPr>
                <w:kern w:val="0"/>
                <w:szCs w:val="21"/>
              </w:rPr>
              <w:t>0</w:t>
            </w:r>
            <w:r>
              <w:rPr>
                <w:rFonts w:hint="eastAsia"/>
                <w:kern w:val="0"/>
                <w:szCs w:val="21"/>
              </w:rPr>
              <w:t>分</w:t>
            </w:r>
          </w:p>
        </w:tc>
        <w:tc>
          <w:tcPr>
            <w:tcW w:w="6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r>
              <w:rPr>
                <w:rFonts w:hint="eastAsia" w:ascii="宋体" w:hAnsi="宋体"/>
                <w:bCs/>
                <w:szCs w:val="21"/>
              </w:rPr>
              <w:t>参审单位业绩</w:t>
            </w:r>
          </w:p>
        </w:tc>
        <w:tc>
          <w:tcPr>
            <w:tcW w:w="37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lang w:val="en-US" w:eastAsia="zh-CN"/>
              </w:rPr>
              <w:t>20</w:t>
            </w:r>
            <w:r>
              <w:rPr>
                <w:rFonts w:hint="eastAsia"/>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sz w:val="21"/>
                <w:szCs w:val="21"/>
                <w:highlight w:val="none"/>
                <w:lang w:val="en-US" w:eastAsia="zh-CN"/>
              </w:rPr>
            </w:pPr>
            <w:r>
              <w:rPr>
                <w:rFonts w:hint="eastAsia" w:ascii="宋体" w:hAnsi="宋体"/>
                <w:kern w:val="0"/>
                <w:szCs w:val="21"/>
                <w:highlight w:val="none"/>
                <w:lang w:eastAsia="zh-CN"/>
              </w:rPr>
              <w:t>参审单位</w:t>
            </w:r>
            <w:r>
              <w:rPr>
                <w:rFonts w:hint="eastAsia" w:ascii="宋体" w:hAnsi="宋体"/>
                <w:sz w:val="21"/>
                <w:szCs w:val="21"/>
                <w:highlight w:val="none"/>
                <w:lang w:val="en-US" w:eastAsia="zh-CN"/>
              </w:rPr>
              <w:t>自2018年1月1日以来（时间以合同签订时间为准），具有单个合同工程总投资</w:t>
            </w:r>
            <w:r>
              <w:rPr>
                <w:rFonts w:hint="eastAsia" w:ascii="宋体" w:hAnsi="宋体"/>
                <w:sz w:val="21"/>
                <w:szCs w:val="21"/>
                <w:highlight w:val="none"/>
              </w:rPr>
              <w:t>不低于</w:t>
            </w:r>
            <w:r>
              <w:rPr>
                <w:rFonts w:hint="eastAsia" w:ascii="宋体" w:hAnsi="宋体"/>
                <w:sz w:val="21"/>
                <w:szCs w:val="21"/>
                <w:highlight w:val="none"/>
                <w:lang w:val="en-US" w:eastAsia="zh-CN"/>
              </w:rPr>
              <w:t>900</w:t>
            </w:r>
            <w:r>
              <w:rPr>
                <w:rFonts w:hint="eastAsia" w:ascii="宋体" w:hAnsi="宋体"/>
                <w:sz w:val="21"/>
                <w:szCs w:val="21"/>
                <w:highlight w:val="none"/>
              </w:rPr>
              <w:t>万元的</w:t>
            </w:r>
            <w:r>
              <w:rPr>
                <w:rFonts w:hint="eastAsia" w:ascii="宋体" w:hAnsi="宋体"/>
                <w:sz w:val="21"/>
                <w:szCs w:val="21"/>
                <w:highlight w:val="none"/>
                <w:lang w:val="en-US" w:eastAsia="zh-CN"/>
              </w:rPr>
              <w:t>市政</w:t>
            </w:r>
            <w:r>
              <w:rPr>
                <w:rFonts w:hint="eastAsia" w:ascii="宋体" w:hAnsi="宋体"/>
                <w:sz w:val="21"/>
                <w:szCs w:val="21"/>
                <w:highlight w:val="none"/>
              </w:rPr>
              <w:t>工程</w:t>
            </w:r>
            <w:r>
              <w:rPr>
                <w:rFonts w:hint="eastAsia" w:ascii="宋体" w:hAnsi="宋体"/>
                <w:sz w:val="21"/>
                <w:szCs w:val="21"/>
                <w:highlight w:val="none"/>
                <w:lang w:val="en-US" w:eastAsia="zh-CN"/>
              </w:rPr>
              <w:t>设计业绩。每个得10分，满分20分。</w:t>
            </w:r>
          </w:p>
          <w:p>
            <w:pPr>
              <w:jc w:val="left"/>
              <w:textAlignment w:val="baseline"/>
              <w:rPr>
                <w:highlight w:val="none"/>
              </w:rPr>
            </w:pPr>
            <w:r>
              <w:rPr>
                <w:rFonts w:hint="eastAsia" w:ascii="宋体" w:hAnsi="宋体"/>
                <w:sz w:val="21"/>
                <w:szCs w:val="21"/>
                <w:highlight w:val="none"/>
                <w:lang w:val="en-US" w:eastAsia="zh-CN"/>
              </w:rPr>
              <w:t>备注：</w:t>
            </w:r>
            <w:r>
              <w:rPr>
                <w:rFonts w:hint="eastAsia" w:hAnsi="宋体"/>
                <w:kern w:val="0"/>
                <w:sz w:val="21"/>
                <w:szCs w:val="21"/>
                <w:highlight w:val="none"/>
              </w:rPr>
              <w:t>（注：本项中涉及的项目指201</w:t>
            </w:r>
            <w:r>
              <w:rPr>
                <w:rFonts w:hint="eastAsia" w:hAnsi="宋体"/>
                <w:kern w:val="0"/>
                <w:sz w:val="21"/>
                <w:szCs w:val="21"/>
                <w:highlight w:val="none"/>
                <w:lang w:val="en-US" w:eastAsia="zh-CN"/>
              </w:rPr>
              <w:t>8</w:t>
            </w:r>
            <w:r>
              <w:rPr>
                <w:rFonts w:hint="eastAsia" w:hAnsi="宋体"/>
                <w:kern w:val="0"/>
                <w:sz w:val="21"/>
                <w:szCs w:val="21"/>
                <w:highlight w:val="none"/>
              </w:rPr>
              <w:t>年1月1日至今，以合同签订日期为准，要求提供合同关键页扫描件作为业绩证明资料，无证明资料或专家无法判断是否得分的业绩，一律作不得分处理。）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07" w:type="pct"/>
            <w:vMerge w:val="continue"/>
            <w:tcBorders>
              <w:top w:val="single" w:color="auto" w:sz="4" w:space="0"/>
              <w:right w:val="single" w:color="auto" w:sz="4" w:space="0"/>
            </w:tcBorders>
            <w:vAlign w:val="center"/>
          </w:tcPr>
          <w:p>
            <w:pPr>
              <w:spacing w:line="360" w:lineRule="auto"/>
              <w:jc w:val="center"/>
              <w:rPr>
                <w:rFonts w:ascii="仿宋" w:hAnsi="仿宋" w:eastAsia="仿宋"/>
                <w:szCs w:val="21"/>
              </w:rPr>
            </w:pPr>
          </w:p>
        </w:tc>
        <w:tc>
          <w:tcPr>
            <w:tcW w:w="66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项目负责人</w:t>
            </w:r>
            <w:r>
              <w:rPr>
                <w:rFonts w:hint="eastAsia" w:ascii="宋体" w:hAnsi="宋体" w:cs="宋体"/>
                <w:szCs w:val="21"/>
                <w:lang w:eastAsia="zh-CN"/>
              </w:rPr>
              <w:t>证书</w:t>
            </w:r>
            <w:bookmarkStart w:id="38" w:name="_GoBack"/>
            <w:bookmarkEnd w:id="38"/>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bCs/>
                <w:sz w:val="20"/>
                <w:szCs w:val="21"/>
                <w:highlight w:val="none"/>
              </w:rPr>
            </w:pPr>
            <w:r>
              <w:rPr>
                <w:rFonts w:hint="eastAsia" w:ascii="宋体" w:hAnsi="宋体"/>
                <w:bCs/>
                <w:szCs w:val="21"/>
                <w:highlight w:val="none"/>
                <w:lang w:eastAsia="zh-CN"/>
              </w:rPr>
              <w:t>参审单位</w:t>
            </w:r>
            <w:r>
              <w:rPr>
                <w:rFonts w:hint="eastAsia" w:ascii="宋体" w:hAnsi="宋体"/>
                <w:bCs/>
                <w:szCs w:val="21"/>
                <w:highlight w:val="none"/>
              </w:rPr>
              <w:t>为本项目配备的项目负责人：</w:t>
            </w:r>
          </w:p>
          <w:p>
            <w:pPr>
              <w:numPr>
                <w:ilvl w:val="0"/>
                <w:numId w:val="4"/>
              </w:numPr>
              <w:jc w:val="left"/>
              <w:textAlignment w:val="baseline"/>
              <w:rPr>
                <w:rFonts w:hint="eastAsia" w:ascii="宋体" w:hAnsi="宋体"/>
                <w:bCs/>
                <w:szCs w:val="21"/>
                <w:highlight w:val="none"/>
              </w:rPr>
            </w:pPr>
            <w:r>
              <w:rPr>
                <w:rFonts w:hint="eastAsia" w:ascii="宋体" w:hAnsi="宋体"/>
                <w:bCs/>
                <w:szCs w:val="21"/>
                <w:highlight w:val="none"/>
              </w:rPr>
              <w:t>项目负责人具备</w:t>
            </w:r>
            <w:r>
              <w:rPr>
                <w:rFonts w:hint="eastAsia" w:ascii="宋体" w:hAnsi="宋体"/>
                <w:bCs/>
                <w:szCs w:val="21"/>
                <w:highlight w:val="none"/>
                <w:lang w:eastAsia="zh-CN"/>
              </w:rPr>
              <w:t>正</w:t>
            </w:r>
            <w:r>
              <w:rPr>
                <w:rFonts w:hint="eastAsia" w:ascii="宋体" w:hAnsi="宋体"/>
                <w:bCs/>
                <w:szCs w:val="21"/>
                <w:highlight w:val="none"/>
              </w:rPr>
              <w:t>高级</w:t>
            </w:r>
            <w:r>
              <w:rPr>
                <w:rFonts w:hint="eastAsia" w:ascii="宋体" w:hAnsi="宋体"/>
                <w:bCs/>
                <w:szCs w:val="21"/>
                <w:highlight w:val="none"/>
                <w:lang w:eastAsia="zh-CN"/>
              </w:rPr>
              <w:t>工程师以上</w:t>
            </w:r>
            <w:r>
              <w:rPr>
                <w:rFonts w:hint="eastAsia" w:ascii="宋体" w:hAnsi="宋体"/>
                <w:bCs/>
                <w:szCs w:val="21"/>
                <w:highlight w:val="none"/>
              </w:rPr>
              <w:t>职称资格的，得</w:t>
            </w:r>
            <w:r>
              <w:rPr>
                <w:rFonts w:hint="eastAsia" w:ascii="宋体" w:hAnsi="宋体"/>
                <w:bCs/>
                <w:szCs w:val="21"/>
                <w:highlight w:val="none"/>
                <w:lang w:val="en-US" w:eastAsia="zh-CN"/>
              </w:rPr>
              <w:t>10</w:t>
            </w:r>
            <w:r>
              <w:rPr>
                <w:rFonts w:hint="eastAsia" w:ascii="宋体" w:hAnsi="宋体"/>
                <w:bCs/>
                <w:szCs w:val="21"/>
                <w:highlight w:val="none"/>
              </w:rPr>
              <w:t>分；项目负责人具备高级工程师职称资格的，得</w:t>
            </w:r>
            <w:r>
              <w:rPr>
                <w:rFonts w:hint="eastAsia" w:ascii="宋体" w:hAnsi="宋体"/>
                <w:bCs/>
                <w:szCs w:val="21"/>
                <w:highlight w:val="none"/>
                <w:lang w:val="en-US" w:eastAsia="zh-CN"/>
              </w:rPr>
              <w:t>5</w:t>
            </w:r>
            <w:r>
              <w:rPr>
                <w:rFonts w:hint="eastAsia" w:ascii="宋体" w:hAnsi="宋体"/>
                <w:bCs/>
                <w:szCs w:val="21"/>
                <w:highlight w:val="none"/>
              </w:rPr>
              <w:t>分；</w:t>
            </w:r>
          </w:p>
          <w:p>
            <w:pPr>
              <w:spacing w:line="320" w:lineRule="exact"/>
              <w:textAlignment w:val="baseline"/>
              <w:rPr>
                <w:rFonts w:ascii="宋体" w:hAnsi="宋体"/>
                <w:bCs/>
                <w:sz w:val="20"/>
                <w:szCs w:val="21"/>
                <w:highlight w:val="none"/>
              </w:rPr>
            </w:pPr>
            <w:r>
              <w:rPr>
                <w:rFonts w:hint="eastAsia" w:ascii="宋体" w:hAnsi="宋体"/>
                <w:bCs/>
                <w:szCs w:val="21"/>
                <w:highlight w:val="none"/>
              </w:rPr>
              <w:t>（注：</w:t>
            </w:r>
            <w:r>
              <w:rPr>
                <w:rFonts w:hint="eastAsia" w:ascii="宋体" w:hAnsi="宋体"/>
                <w:bCs/>
                <w:szCs w:val="21"/>
                <w:highlight w:val="none"/>
                <w:lang w:eastAsia="zh-CN"/>
              </w:rPr>
              <w:t>参审单位</w:t>
            </w:r>
            <w:r>
              <w:rPr>
                <w:rFonts w:hint="eastAsia" w:ascii="宋体" w:hAnsi="宋体"/>
                <w:bCs/>
                <w:szCs w:val="21"/>
                <w:highlight w:val="none"/>
              </w:rPr>
              <w:t>需提供项目负责人近半年内任意三个月的社保证明文件，职称证书、获奖证书扫描件）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7" w:type="pct"/>
            <w:vMerge w:val="restart"/>
            <w:tcBorders>
              <w:top w:val="single" w:color="auto" w:sz="4" w:space="0"/>
              <w:right w:val="single" w:color="auto" w:sz="4" w:space="0"/>
            </w:tcBorders>
            <w:vAlign w:val="center"/>
          </w:tcPr>
          <w:p>
            <w:pPr>
              <w:spacing w:line="440" w:lineRule="exact"/>
              <w:jc w:val="center"/>
              <w:rPr>
                <w:kern w:val="0"/>
                <w:szCs w:val="21"/>
              </w:rPr>
            </w:pPr>
            <w:r>
              <w:rPr>
                <w:rFonts w:hint="eastAsia"/>
                <w:kern w:val="0"/>
                <w:szCs w:val="21"/>
              </w:rPr>
              <w:t>技术评分标准</w:t>
            </w:r>
            <w:r>
              <w:rPr>
                <w:kern w:val="0"/>
                <w:szCs w:val="21"/>
              </w:rPr>
              <w:t>70</w:t>
            </w:r>
            <w:r>
              <w:rPr>
                <w:rFonts w:hint="eastAsia"/>
                <w:kern w:val="0"/>
                <w:szCs w:val="21"/>
              </w:rPr>
              <w:t>分</w:t>
            </w:r>
          </w:p>
        </w:tc>
        <w:tc>
          <w:tcPr>
            <w:tcW w:w="660"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r>
              <w:rPr>
                <w:rFonts w:hint="eastAsia"/>
              </w:rPr>
              <w:t>设计方案说明</w:t>
            </w:r>
          </w:p>
        </w:tc>
        <w:tc>
          <w:tcPr>
            <w:tcW w:w="3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Cs w:val="21"/>
              </w:rPr>
            </w:pPr>
            <w:r>
              <w:rPr>
                <w:rFonts w:ascii="宋体" w:hAnsi="宋体"/>
                <w:szCs w:val="21"/>
              </w:rPr>
              <w:t>30</w:t>
            </w:r>
            <w:r>
              <w:rPr>
                <w:rFonts w:hint="eastAsia" w:ascii="宋体" w:hAnsi="宋体"/>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lang w:val="zh-CN" w:bidi="zh-CN"/>
              </w:rPr>
            </w:pPr>
            <w:r>
              <w:rPr>
                <w:rFonts w:hint="eastAsia" w:ascii="宋体" w:hAnsi="宋体"/>
                <w:bCs/>
                <w:szCs w:val="21"/>
                <w:lang w:eastAsia="zh-CN"/>
              </w:rPr>
              <w:t>参审单位</w:t>
            </w:r>
            <w:r>
              <w:t>结合对本项目的理解，进行创作思路阐述，结合效果图表现，初步方案寓意表达清晰，立意新颖，方案编制合理可行，线路清晰、准确、完整能充分反映设计意图。根据对比由评标委员会进行酌情打分，设计方案寓意表达清晰，立意新颖，方案编制合理可行，线路清晰、准确、完整能充分反映设计意图得25（含）-30分；设计方案寓意表达较清晰，立意新颖，方案编制较合理可行，线路清晰、准确、完整基本能反映设计意图得15（含）-25分；设计方案寓意表达较不清晰，方案编制合理性差、可行性差，线路无法反映设计意图得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4" w:hRule="atLeast"/>
          <w:jc w:val="center"/>
        </w:trPr>
        <w:tc>
          <w:tcPr>
            <w:tcW w:w="707" w:type="pct"/>
            <w:vMerge w:val="continue"/>
            <w:tcBorders>
              <w:top w:val="single" w:color="auto" w:sz="4" w:space="0"/>
              <w:right w:val="single" w:color="auto" w:sz="4" w:space="0"/>
            </w:tcBorders>
            <w:vAlign w:val="center"/>
          </w:tcPr>
          <w:p>
            <w:pPr>
              <w:spacing w:line="360" w:lineRule="auto"/>
              <w:jc w:val="center"/>
              <w:rPr>
                <w:rFonts w:ascii="仿宋" w:hAnsi="仿宋" w:eastAsia="仿宋"/>
                <w:szCs w:val="21"/>
              </w:rPr>
            </w:pPr>
          </w:p>
        </w:tc>
        <w:tc>
          <w:tcPr>
            <w:tcW w:w="66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hAnsi="宋体"/>
                <w:bCs/>
                <w:szCs w:val="21"/>
              </w:rPr>
            </w:pPr>
            <w:r>
              <w:rPr>
                <w:rFonts w:hint="eastAsia" w:hAnsi="宋体"/>
                <w:bCs/>
                <w:szCs w:val="21"/>
              </w:rPr>
              <w:t>设计方案的重点难点分析与解决</w:t>
            </w:r>
          </w:p>
        </w:tc>
        <w:tc>
          <w:tcPr>
            <w:tcW w:w="372" w:type="pct"/>
            <w:tcBorders>
              <w:top w:val="single" w:color="auto" w:sz="4" w:space="0"/>
              <w:left w:val="single" w:color="auto" w:sz="4" w:space="0"/>
              <w:bottom w:val="single" w:color="auto" w:sz="4" w:space="0"/>
              <w:right w:val="single" w:color="auto" w:sz="4" w:space="0"/>
            </w:tcBorders>
            <w:vAlign w:val="center"/>
          </w:tcPr>
          <w:p>
            <w:pPr>
              <w:widowControl/>
              <w:jc w:val="left"/>
              <w:rPr>
                <w:rFonts w:hAnsi="宋体"/>
                <w:bCs/>
                <w:szCs w:val="21"/>
              </w:rPr>
            </w:pPr>
            <w:r>
              <w:rPr>
                <w:rFonts w:hAnsi="宋体"/>
                <w:bCs/>
                <w:szCs w:val="21"/>
              </w:rPr>
              <w:t>2</w:t>
            </w:r>
            <w:r>
              <w:rPr>
                <w:rFonts w:hint="eastAsia" w:hAnsi="宋体"/>
                <w:bCs/>
                <w:szCs w:val="21"/>
              </w:rPr>
              <w:t>0分</w:t>
            </w:r>
          </w:p>
        </w:tc>
        <w:tc>
          <w:tcPr>
            <w:tcW w:w="32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bCs/>
                <w:szCs w:val="21"/>
              </w:rPr>
            </w:pPr>
            <w:r>
              <w:t>对本项目设计的重点、难点的分析全面、确切，重点突出，对策针对性强的得15(含）-20分；对本项目设计的重点、难点的分析一般，重点基本突出，对策针对性</w:t>
            </w:r>
            <w:r>
              <w:rPr>
                <w:rFonts w:hint="eastAsia"/>
              </w:rPr>
              <w:t>一般</w:t>
            </w:r>
            <w:r>
              <w:t>的得0(含）-15分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2" w:hRule="atLeast"/>
          <w:jc w:val="center"/>
        </w:trPr>
        <w:tc>
          <w:tcPr>
            <w:tcW w:w="707" w:type="pct"/>
            <w:vMerge w:val="continue"/>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rPr>
            </w:pPr>
          </w:p>
        </w:tc>
        <w:tc>
          <w:tcPr>
            <w:tcW w:w="660"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r>
              <w:rPr>
                <w:rFonts w:hint="eastAsia" w:ascii="宋体" w:hAnsi="宋体"/>
              </w:rPr>
              <w:t>设计质量控制</w:t>
            </w:r>
          </w:p>
        </w:tc>
        <w:tc>
          <w:tcPr>
            <w:tcW w:w="372"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20</w:t>
            </w:r>
            <w:r>
              <w:rPr>
                <w:rFonts w:hint="eastAsia" w:ascii="宋体" w:hAnsi="宋体"/>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pPr>
            <w:r>
              <w:t>根据对设计文件编制的全过程质量控制措施进行评价，质量控制措完善、可行性高得15(含）-20分；质量控制</w:t>
            </w:r>
            <w:r>
              <w:rPr>
                <w:rFonts w:hint="eastAsia"/>
              </w:rPr>
              <w:t>措施</w:t>
            </w:r>
            <w:r>
              <w:t>基本完善、可行性一般得0-15分。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right w:val="single" w:color="auto" w:sz="4" w:space="0"/>
            </w:tcBorders>
            <w:vAlign w:val="center"/>
          </w:tcPr>
          <w:p>
            <w:pPr>
              <w:widowControl/>
              <w:spacing w:line="360" w:lineRule="auto"/>
              <w:jc w:val="left"/>
              <w:rPr>
                <w:rFonts w:hint="eastAsia" w:eastAsia="宋体"/>
                <w:lang w:val="en-US" w:eastAsia="zh-CN"/>
              </w:rPr>
            </w:pPr>
            <w:r>
              <w:rPr>
                <w:rFonts w:hint="eastAsia"/>
                <w:lang w:val="en-US" w:eastAsia="zh-CN"/>
              </w:rPr>
              <w:t>备注：取所有评委打分的平均值。</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sz w:val="24"/>
          <w:szCs w:val="24"/>
          <w:highlight w:val="none"/>
          <w:lang w:eastAsia="zh-CN"/>
        </w:rPr>
      </w:pPr>
      <w:bookmarkStart w:id="4" w:name="_Toc17370"/>
      <w:r>
        <w:rPr>
          <w:rFonts w:hint="eastAsia" w:ascii="宋体" w:hAnsi="宋体" w:cs="宋体"/>
          <w:bCs/>
          <w:sz w:val="24"/>
          <w:szCs w:val="24"/>
          <w:highlight w:val="none"/>
          <w:lang w:val="en-US" w:eastAsia="zh-CN"/>
        </w:rPr>
        <w:t>6、</w:t>
      </w:r>
      <w:r>
        <w:rPr>
          <w:rFonts w:hint="eastAsia" w:ascii="宋体" w:hAnsi="宋体" w:cs="宋体"/>
          <w:bCs/>
          <w:sz w:val="24"/>
          <w:szCs w:val="24"/>
          <w:highlight w:val="none"/>
          <w:lang w:eastAsia="zh-CN"/>
        </w:rPr>
        <w:t>本项目采用综合评估法，以固定总价的形式进行征集。评委会对满足征集文件初审的参审文件，按照评分标准进行打分，并按得分由高到低顺序确定入选单位。综合评分相等时，以技术得分高的优先；如果技术得分也相等，由评委会按照少数服从多数的原则投票决定。若符合项目条件的参审单位不足规3家的，业主单位有权终止征集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评审委员会在评审过程中发现的问题，应当及时作出处理或者向业主单位提出处理建议，并作书面记录。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adjustRightInd w:val="0"/>
        <w:snapToGrid w:val="0"/>
        <w:spacing w:line="360" w:lineRule="auto"/>
        <w:ind w:right="-10" w:firstLine="420" w:firstLineChars="175"/>
        <w:jc w:val="center"/>
        <w:rPr>
          <w:rFonts w:hint="eastAsia" w:ascii="宋体" w:hAnsi="宋体" w:cs="宋体"/>
          <w:bCs/>
          <w:sz w:val="24"/>
          <w:szCs w:val="24"/>
          <w:highlight w:val="none"/>
        </w:rPr>
      </w:pPr>
    </w:p>
    <w:p>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p>
    <w:p>
      <w:pPr>
        <w:adjustRightInd w:val="0"/>
        <w:snapToGrid w:val="0"/>
        <w:spacing w:line="360" w:lineRule="auto"/>
        <w:ind w:right="-10" w:firstLine="490" w:firstLineChars="175"/>
        <w:jc w:val="center"/>
        <w:rPr>
          <w:rStyle w:val="21"/>
          <w:rFonts w:hint="eastAsia" w:ascii="宋体" w:hAnsi="宋体" w:eastAsia="宋体" w:cs="宋体"/>
          <w:b w:val="0"/>
          <w:bCs w:val="0"/>
          <w:sz w:val="28"/>
          <w:szCs w:val="28"/>
          <w:highlight w:val="none"/>
        </w:rPr>
      </w:pPr>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4"/>
    </w:p>
    <w:p>
      <w:pPr>
        <w:spacing w:before="156" w:beforeLines="50" w:after="93" w:afterLines="30" w:line="360" w:lineRule="auto"/>
        <w:rPr>
          <w:rFonts w:hint="eastAsia" w:ascii="宋体" w:hAnsi="宋体" w:cs="宋体"/>
          <w:sz w:val="24"/>
          <w:szCs w:val="24"/>
          <w:highlight w:val="none"/>
          <w:u w:val="single"/>
        </w:rPr>
      </w:pPr>
      <w:bookmarkStart w:id="5"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5"/>
      <w:bookmarkStart w:id="6" w:name="_Hlt509738521"/>
      <w:bookmarkStart w:id="7" w:name="_Hlt519045391"/>
      <w:bookmarkStart w:id="8" w:name="_Hlt509738509"/>
    </w:p>
    <w:p>
      <w:pPr>
        <w:pStyle w:val="14"/>
        <w:rPr>
          <w:rFonts w:hint="eastAsia"/>
          <w:highlight w:val="none"/>
        </w:rPr>
      </w:pPr>
    </w:p>
    <w:p>
      <w:pPr>
        <w:jc w:val="center"/>
        <w:rPr>
          <w:rStyle w:val="20"/>
          <w:rFonts w:hint="eastAsia" w:ascii="宋体" w:hAnsi="宋体" w:cs="宋体"/>
          <w:sz w:val="44"/>
          <w:szCs w:val="44"/>
          <w:highlight w:val="none"/>
          <w:lang w:val="en-US" w:eastAsia="zh-CN"/>
        </w:rPr>
      </w:pPr>
      <w:r>
        <w:rPr>
          <w:rStyle w:val="20"/>
          <w:rFonts w:hint="eastAsia" w:ascii="宋体" w:hAnsi="宋体" w:cs="宋体"/>
          <w:sz w:val="44"/>
          <w:szCs w:val="44"/>
          <w:highlight w:val="none"/>
          <w:lang w:val="en-US" w:eastAsia="zh-CN"/>
        </w:rPr>
        <w:t>三河古镇三河口临时停车场项目设计</w:t>
      </w:r>
    </w:p>
    <w:p>
      <w:pPr>
        <w:pStyle w:val="7"/>
        <w:rPr>
          <w:rFonts w:hint="eastAsia"/>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2"/>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9" w:name="_Hlt519045798"/>
      <w:bookmarkEnd w:id="9"/>
      <w:bookmarkStart w:id="10" w:name="_Hlt533408409"/>
      <w:bookmarkEnd w:id="10"/>
      <w:bookmarkStart w:id="11" w:name="_Hlt533409360"/>
      <w:bookmarkEnd w:id="11"/>
      <w:bookmarkStart w:id="12" w:name="_Hlt533408916"/>
      <w:bookmarkEnd w:id="12"/>
      <w:bookmarkStart w:id="13" w:name="_Hlt509716873"/>
      <w:bookmarkEnd w:id="13"/>
      <w:bookmarkStart w:id="14" w:name="_Toc13084"/>
      <w:bookmarkStart w:id="15" w:name="_Toc516969097"/>
      <w:bookmarkStart w:id="16"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rPr>
            </w:pPr>
            <w:r>
              <w:rPr>
                <w:rStyle w:val="20"/>
                <w:rFonts w:hint="eastAsia" w:ascii="宋体" w:hAnsi="宋体" w:cs="宋体"/>
                <w:b w:val="0"/>
                <w:bCs w:val="0"/>
                <w:sz w:val="28"/>
                <w:szCs w:val="28"/>
                <w:highlight w:val="none"/>
                <w:lang w:val="en-US" w:eastAsia="zh-CN"/>
              </w:rPr>
              <w:t>三河古镇三河口临时停车场项目设计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pStyle w:val="11"/>
        <w:rPr>
          <w:rFonts w:hint="eastAsia" w:ascii="宋体" w:hAnsi="宋体" w:cs="宋体"/>
          <w:b/>
          <w:sz w:val="28"/>
          <w:szCs w:val="28"/>
          <w:highlight w:val="none"/>
        </w:rPr>
      </w:pPr>
    </w:p>
    <w:p>
      <w:pPr>
        <w:pStyle w:val="11"/>
        <w:rPr>
          <w:rFonts w:hint="eastAsia" w:ascii="宋体" w:hAnsi="宋体" w:cs="宋体"/>
          <w:b/>
          <w:sz w:val="28"/>
          <w:szCs w:val="28"/>
          <w:highlight w:val="none"/>
        </w:rPr>
      </w:pPr>
    </w:p>
    <w:p>
      <w:pPr>
        <w:rPr>
          <w:rFonts w:hint="eastAsia" w:hAnsi="宋体" w:cs="宋体"/>
          <w:sz w:val="28"/>
          <w:szCs w:val="28"/>
          <w:highlight w:val="none"/>
        </w:rPr>
        <w:sectPr>
          <w:headerReference r:id="rId3" w:type="default"/>
          <w:footerReference r:id="rId4" w:type="default"/>
          <w:pgSz w:w="11907" w:h="16840"/>
          <w:pgMar w:top="1440" w:right="1080" w:bottom="1440" w:left="1080" w:header="851" w:footer="992" w:gutter="0"/>
          <w:pgNumType w:fmt="decimal" w:start="1"/>
          <w:cols w:space="720" w:num="1"/>
          <w:docGrid w:linePitch="303" w:charSpace="0"/>
        </w:sectPr>
      </w:pPr>
    </w:p>
    <w:bookmarkEnd w:id="15"/>
    <w:p>
      <w:pPr>
        <w:pStyle w:val="2"/>
        <w:spacing w:before="0" w:beforeLines="0" w:after="0" w:afterLines="0" w:line="440" w:lineRule="atLeast"/>
        <w:jc w:val="both"/>
        <w:rPr>
          <w:rFonts w:hint="eastAsia" w:ascii="宋体" w:hAnsi="宋体" w:eastAsia="宋体" w:cs="宋体"/>
          <w:b/>
          <w:bCs/>
          <w:color w:val="auto"/>
          <w:kern w:val="2"/>
          <w:sz w:val="28"/>
          <w:szCs w:val="28"/>
          <w:highlight w:val="none"/>
          <w:lang w:val="en-US" w:eastAsia="zh-CN" w:bidi="ar-SA"/>
        </w:rPr>
      </w:pPr>
      <w:bookmarkStart w:id="17" w:name="_Toc6245"/>
      <w:bookmarkStart w:id="18" w:name="_Toc19990"/>
      <w:bookmarkStart w:id="19" w:name="_Toc500337339"/>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7"/>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0" w:name="_Toc535241130"/>
      <w:bookmarkStart w:id="21" w:name="_Toc535241084"/>
      <w:bookmarkStart w:id="22" w:name="_Toc535241227"/>
      <w:bookmarkStart w:id="23" w:name="_Toc224103497"/>
      <w:bookmarkStart w:id="24" w:name="_Toc224103498"/>
      <w:r>
        <w:rPr>
          <w:color w:val="auto"/>
          <w:sz w:val="32"/>
          <w:szCs w:val="32"/>
          <w:highlight w:val="none"/>
        </w:rPr>
        <w:br w:type="page"/>
      </w:r>
      <w:r>
        <w:rPr>
          <w:rFonts w:hint="eastAsia" w:ascii="黑体" w:hAnsi="黑体" w:eastAsia="黑体"/>
          <w:bCs/>
          <w:color w:val="auto"/>
          <w:sz w:val="24"/>
          <w:highlight w:val="none"/>
        </w:rPr>
        <w:t>授权委托书</w:t>
      </w:r>
      <w:bookmarkEnd w:id="20"/>
      <w:bookmarkEnd w:id="21"/>
      <w:bookmarkEnd w:id="22"/>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3"/>
    <w:bookmarkEnd w:id="24"/>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7"/>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8"/>
      <w:bookmarkEnd w:id="19"/>
    </w:p>
    <w:p>
      <w:pPr>
        <w:pStyle w:val="8"/>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u w:val="single"/>
          <w:lang w:val="en-US" w:eastAsia="zh-CN"/>
        </w:rPr>
        <w:t>三河古镇三河口临时停车场项目设计</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6"/>
    <w:bookmarkEnd w:id="7"/>
    <w:bookmarkEnd w:id="8"/>
    <w:bookmarkEnd w:id="16"/>
    <w:p>
      <w:pPr>
        <w:pStyle w:val="2"/>
        <w:spacing w:before="120" w:beforeLines="0" w:after="120" w:afterLines="0" w:line="360" w:lineRule="auto"/>
        <w:rPr>
          <w:rFonts w:hint="eastAsia" w:hAnsi="宋体" w:cs="宋体"/>
          <w:sz w:val="28"/>
          <w:szCs w:val="28"/>
          <w:highlight w:val="none"/>
        </w:rPr>
      </w:pPr>
      <w:bookmarkStart w:id="25" w:name="_Hlt533408944"/>
      <w:bookmarkEnd w:id="25"/>
      <w:bookmarkStart w:id="26" w:name="_Hlt514495724"/>
      <w:bookmarkEnd w:id="26"/>
      <w:r>
        <w:rPr>
          <w:rFonts w:hint="eastAsia" w:hAnsi="宋体" w:cs="宋体"/>
          <w:sz w:val="28"/>
          <w:szCs w:val="28"/>
          <w:highlight w:val="none"/>
        </w:rPr>
        <w:br w:type="page"/>
      </w:r>
      <w:bookmarkStart w:id="27"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7"/>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公共资源交易监督管理部门记不良行为记录或记不良行为记录累计未满10分的。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8" w:name="_Toc500337343"/>
      <w:bookmarkStart w:id="29" w:name="_Toc19826"/>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8"/>
      <w:bookmarkEnd w:id="29"/>
      <w:bookmarkStart w:id="30" w:name="_Toc26965"/>
      <w:bookmarkStart w:id="31" w:name="_Toc220232402"/>
      <w:bookmarkStart w:id="32" w:name="_Toc516969105"/>
      <w:r>
        <w:rPr>
          <w:rStyle w:val="23"/>
          <w:rFonts w:hint="eastAsia" w:ascii="宋体" w:hAnsi="宋体" w:eastAsia="宋体" w:cs="宋体"/>
          <w:b/>
          <w:bCs/>
          <w:sz w:val="28"/>
          <w:szCs w:val="28"/>
          <w:highlight w:val="none"/>
          <w:lang w:val="en-US" w:eastAsia="zh-CN"/>
        </w:rPr>
        <w:t>有关证明文件</w:t>
      </w:r>
      <w:bookmarkEnd w:id="30"/>
      <w:bookmarkEnd w:id="31"/>
      <w:bookmarkEnd w:id="32"/>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3" w:name="_Toc396122185"/>
      <w:bookmarkStart w:id="34" w:name="_Toc396317511"/>
      <w:bookmarkStart w:id="35" w:name="_Toc17338"/>
      <w:bookmarkStart w:id="36" w:name="_Toc500337346"/>
      <w:bookmarkStart w:id="37" w:name="_Toc220232403"/>
    </w:p>
    <w:p>
      <w:pPr>
        <w:pStyle w:val="2"/>
        <w:rPr>
          <w:rFonts w:hint="eastAsia" w:hAnsi="宋体" w:cs="宋体"/>
          <w:sz w:val="28"/>
          <w:szCs w:val="28"/>
          <w:highlight w:val="none"/>
          <w:lang w:val="en-US" w:eastAsia="zh-CN"/>
        </w:rPr>
      </w:pPr>
    </w:p>
    <w:p>
      <w:pPr>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3"/>
      <w:bookmarkEnd w:id="34"/>
      <w:r>
        <w:rPr>
          <w:rFonts w:hint="eastAsia" w:hAnsi="宋体" w:cs="宋体"/>
          <w:sz w:val="28"/>
          <w:szCs w:val="28"/>
          <w:highlight w:val="none"/>
          <w:lang w:eastAsia="zh-CN"/>
        </w:rPr>
        <w:t xml:space="preserve"> 其他资料</w:t>
      </w:r>
      <w:bookmarkEnd w:id="35"/>
      <w:bookmarkEnd w:id="36"/>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7"/>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abstractNum w:abstractNumId="2">
    <w:nsid w:val="3513A6D1"/>
    <w:multiLevelType w:val="singleLevel"/>
    <w:tmpl w:val="3513A6D1"/>
    <w:lvl w:ilvl="0" w:tentative="0">
      <w:start w:val="5"/>
      <w:numFmt w:val="decimal"/>
      <w:lvlText w:val="%1."/>
      <w:lvlJc w:val="left"/>
      <w:pPr>
        <w:tabs>
          <w:tab w:val="left" w:pos="312"/>
        </w:tabs>
      </w:pPr>
    </w:lvl>
  </w:abstractNum>
  <w:abstractNum w:abstractNumId="3">
    <w:nsid w:val="59A93B5B"/>
    <w:multiLevelType w:val="singleLevel"/>
    <w:tmpl w:val="59A93B5B"/>
    <w:lvl w:ilvl="0" w:tentative="0">
      <w:start w:val="1"/>
      <w:numFmt w:val="decimal"/>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4BE14C0"/>
    <w:rsid w:val="081952B3"/>
    <w:rsid w:val="08922100"/>
    <w:rsid w:val="099F10DB"/>
    <w:rsid w:val="0BA23811"/>
    <w:rsid w:val="0DB54600"/>
    <w:rsid w:val="0E033F7A"/>
    <w:rsid w:val="0E4775D9"/>
    <w:rsid w:val="0EE91E83"/>
    <w:rsid w:val="135056C8"/>
    <w:rsid w:val="13C47160"/>
    <w:rsid w:val="140C4DDD"/>
    <w:rsid w:val="158F4327"/>
    <w:rsid w:val="175054C9"/>
    <w:rsid w:val="182C1032"/>
    <w:rsid w:val="19567783"/>
    <w:rsid w:val="1B841D1D"/>
    <w:rsid w:val="1BF22A8E"/>
    <w:rsid w:val="1CDD28FB"/>
    <w:rsid w:val="23A62190"/>
    <w:rsid w:val="23E028CC"/>
    <w:rsid w:val="26356BAE"/>
    <w:rsid w:val="284D407F"/>
    <w:rsid w:val="290D27BA"/>
    <w:rsid w:val="292559B5"/>
    <w:rsid w:val="2AA4674C"/>
    <w:rsid w:val="2C6B16A9"/>
    <w:rsid w:val="2D3A48A4"/>
    <w:rsid w:val="2E0E0B66"/>
    <w:rsid w:val="30DE4562"/>
    <w:rsid w:val="343F2DFD"/>
    <w:rsid w:val="39AB1468"/>
    <w:rsid w:val="3A587E8F"/>
    <w:rsid w:val="3B5A3BC4"/>
    <w:rsid w:val="3C0E6EC2"/>
    <w:rsid w:val="3C72614E"/>
    <w:rsid w:val="3E1901BE"/>
    <w:rsid w:val="3EF96B18"/>
    <w:rsid w:val="4374368A"/>
    <w:rsid w:val="44823FC0"/>
    <w:rsid w:val="47C040BF"/>
    <w:rsid w:val="48044450"/>
    <w:rsid w:val="48536283"/>
    <w:rsid w:val="48811DCD"/>
    <w:rsid w:val="4A2000F0"/>
    <w:rsid w:val="4A7D1684"/>
    <w:rsid w:val="4DD50B0D"/>
    <w:rsid w:val="4EB85956"/>
    <w:rsid w:val="4F30519E"/>
    <w:rsid w:val="54A70F6B"/>
    <w:rsid w:val="567F608E"/>
    <w:rsid w:val="57D87E20"/>
    <w:rsid w:val="5C0629E9"/>
    <w:rsid w:val="5CFE5FDA"/>
    <w:rsid w:val="60A14592"/>
    <w:rsid w:val="64A5505E"/>
    <w:rsid w:val="6597619F"/>
    <w:rsid w:val="6608232F"/>
    <w:rsid w:val="66EF67B7"/>
    <w:rsid w:val="68816AA3"/>
    <w:rsid w:val="6C727408"/>
    <w:rsid w:val="6C8D2FC3"/>
    <w:rsid w:val="6D147674"/>
    <w:rsid w:val="74AB6621"/>
    <w:rsid w:val="7E7D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rPr>
      <w:rFonts w:ascii="宋体" w:hAnsi="Arial"/>
      <w:sz w:val="28"/>
    </w:rPr>
  </w:style>
  <w:style w:type="paragraph" w:styleId="8">
    <w:name w:val="Date"/>
    <w:basedOn w:val="1"/>
    <w:next w:val="1"/>
    <w:qFormat/>
    <w:uiPriority w:val="0"/>
    <w:rPr>
      <w:b/>
      <w:kern w:val="2"/>
      <w:sz w:val="28"/>
    </w:rPr>
  </w:style>
  <w:style w:type="paragraph" w:styleId="9">
    <w:name w:val="Body Text Indent"/>
    <w:basedOn w:val="1"/>
    <w:next w:val="10"/>
    <w:qFormat/>
    <w:uiPriority w:val="0"/>
    <w:pPr>
      <w:ind w:firstLine="645"/>
    </w:pPr>
    <w:rPr>
      <w:rFonts w:ascii="楷体_GB2312" w:eastAsia="楷体_GB2312"/>
      <w:kern w:val="2"/>
      <w:sz w:val="32"/>
      <w:lang w:val="en-US" w:eastAsia="zh-CN" w:bidi="ar-SA"/>
    </w:rPr>
  </w:style>
  <w:style w:type="paragraph" w:styleId="10">
    <w:name w:val="envelope return"/>
    <w:basedOn w:val="1"/>
    <w:qFormat/>
    <w:uiPriority w:val="0"/>
    <w:pPr>
      <w:snapToGrid w:val="0"/>
    </w:pPr>
    <w:rPr>
      <w:rFonts w:ascii="Arial" w:hAnsi="Arial"/>
    </w:rPr>
  </w:style>
  <w:style w:type="paragraph" w:styleId="11">
    <w:name w:val="Body Text Indent 2"/>
    <w:basedOn w:val="1"/>
    <w:qFormat/>
    <w:uiPriority w:val="0"/>
    <w:pPr>
      <w:spacing w:line="360" w:lineRule="exact"/>
      <w:ind w:firstLine="600" w:firstLineChars="250"/>
      <w:jc w:val="left"/>
    </w:pPr>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9"/>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5100</Words>
  <Characters>5328</Characters>
  <Lines>0</Lines>
  <Paragraphs>0</Paragraphs>
  <TotalTime>44</TotalTime>
  <ScaleCrop>false</ScaleCrop>
  <LinksUpToDate>false</LinksUpToDate>
  <CharactersWithSpaces>6193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cp:lastPrinted>2023-07-11T01:39:00Z</cp:lastPrinted>
  <dcterms:modified xsi:type="dcterms:W3CDTF">2023-07-11T07:04:25Z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0DF5B5EF58EF4484AAA4904EED6C0E00_13</vt:lpwstr>
  </property>
</Properties>
</file>