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spacing w:before="240" w:beforeLines="100" w:line="360" w:lineRule="auto"/>
        <w:ind w:left="0" w:leftChars="0" w:firstLine="0" w:firstLineChars="0"/>
        <w:jc w:val="center"/>
        <w:rPr>
          <w:rFonts w:hint="default" w:ascii="宋体" w:hAnsi="宋体" w:eastAsia="宋体"/>
          <w:sz w:val="24"/>
          <w:highlight w:val="none"/>
          <w:lang w:val="en-US" w:eastAsia="zh-CN"/>
        </w:rPr>
      </w:pPr>
      <w:r>
        <w:rPr>
          <w:rFonts w:hint="eastAsia" w:ascii="黑体" w:hAnsi="黑体" w:eastAsia="黑体"/>
          <w:sz w:val="44"/>
          <w:szCs w:val="44"/>
          <w:highlight w:val="none"/>
          <w:lang w:val="en-US" w:eastAsia="zh-CN"/>
        </w:rPr>
        <w:t>三河古镇研学游基地项目苗木移植</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7"/>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6</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highlight w:val="none"/>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lang w:eastAsia="zh-CN"/>
        </w:rPr>
        <w:t>三河古镇研学游基地项目苗木移植</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1.项目名称：</w:t>
      </w:r>
      <w:r>
        <w:rPr>
          <w:rFonts w:hint="eastAsia" w:ascii="宋体" w:hAnsi="宋体" w:cs="宋体"/>
          <w:sz w:val="24"/>
          <w:szCs w:val="24"/>
          <w:highlight w:val="none"/>
          <w:lang w:eastAsia="zh-CN"/>
        </w:rPr>
        <w:t>三河古镇研学游基地项目苗木移植</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2.项目地点：项目位于</w:t>
      </w:r>
      <w:r>
        <w:rPr>
          <w:rFonts w:hint="eastAsia" w:ascii="宋体" w:hAnsi="宋体" w:cs="宋体"/>
          <w:sz w:val="24"/>
          <w:szCs w:val="24"/>
          <w:highlight w:val="none"/>
          <w:lang w:val="en-US" w:eastAsia="zh-CN"/>
        </w:rPr>
        <w:t>肥西三河镇</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征集内容及要求：完成三河古镇研学游基地范围内的苗木（约200颗，详见参审文件里的报价清单）移植、外运，并做好现场的场地平整及运输路线内的道路清理工作，参审单位保证成活率不低于95%，养护1年。</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预算</w:t>
      </w:r>
      <w:r>
        <w:rPr>
          <w:rFonts w:hint="eastAsia" w:ascii="宋体" w:hAnsi="宋体" w:cs="宋体"/>
          <w:sz w:val="24"/>
          <w:szCs w:val="24"/>
          <w:highlight w:val="none"/>
        </w:rPr>
        <w:t>：</w:t>
      </w:r>
      <w:r>
        <w:rPr>
          <w:rFonts w:hint="eastAsia" w:ascii="宋体" w:hAnsi="宋体" w:cs="宋体"/>
          <w:sz w:val="24"/>
          <w:szCs w:val="24"/>
          <w:highlight w:val="none"/>
          <w:lang w:val="en-US" w:eastAsia="zh-CN"/>
        </w:rPr>
        <w:t>99260元（各单位报价不得超过本预算）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工程服务</w:t>
      </w:r>
      <w:r>
        <w:rPr>
          <w:rFonts w:hint="eastAsia" w:ascii="宋体" w:hAnsi="宋体" w:cs="宋体"/>
          <w:sz w:val="24"/>
          <w:szCs w:val="24"/>
          <w:highlight w:val="none"/>
        </w:rPr>
        <w:t>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具有独立承担民事责任的能力</w:t>
      </w:r>
      <w:r>
        <w:rPr>
          <w:rFonts w:hint="eastAsia" w:ascii="宋体" w:hAnsi="宋体" w:cs="宋体"/>
          <w:sz w:val="24"/>
          <w:szCs w:val="24"/>
          <w:highlight w:val="none"/>
        </w:rPr>
        <w:t>；</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hAnsi="宋体" w:cs="宋体"/>
          <w:b w:val="0"/>
          <w:bCs w:val="0"/>
          <w:kern w:val="2"/>
          <w:sz w:val="24"/>
          <w:szCs w:val="24"/>
          <w:highlight w:val="none"/>
          <w:lang w:val="en-US" w:eastAsia="zh-CN" w:bidi="ar-SA"/>
        </w:rPr>
        <w:t>2.</w:t>
      </w:r>
      <w:r>
        <w:rPr>
          <w:rFonts w:hint="eastAsia" w:ascii="宋体" w:hAnsi="宋体" w:eastAsia="宋体" w:cs="宋体"/>
          <w:b w:val="0"/>
          <w:bCs w:val="0"/>
          <w:kern w:val="2"/>
          <w:sz w:val="24"/>
          <w:szCs w:val="24"/>
          <w:highlight w:val="none"/>
          <w:lang w:val="en-US" w:eastAsia="zh-CN" w:bidi="ar-SA"/>
        </w:rPr>
        <w:t>具有有效的三证合一营业执照(或营业执照、组织机构代码证、税务登记证）</w:t>
      </w:r>
      <w:r>
        <w:rPr>
          <w:rFonts w:hint="eastAsia" w:hAnsi="宋体" w:cs="宋体"/>
          <w:b w:val="0"/>
          <w:bCs w:val="0"/>
          <w:kern w:val="2"/>
          <w:sz w:val="24"/>
          <w:szCs w:val="24"/>
          <w:highlight w:val="none"/>
          <w:lang w:val="en-US" w:eastAsia="zh-CN" w:bidi="ar-SA"/>
        </w:rPr>
        <w:t>；</w:t>
      </w:r>
    </w:p>
    <w:p>
      <w:pPr>
        <w:spacing w:line="360" w:lineRule="auto"/>
        <w:ind w:firstLine="480" w:firstLineChars="200"/>
        <w:rPr>
          <w:rFonts w:hint="default"/>
          <w:lang w:val="en-US" w:eastAsia="zh-CN"/>
        </w:rPr>
      </w:pPr>
      <w:r>
        <w:rPr>
          <w:rFonts w:hint="eastAsia" w:ascii="宋体" w:hAnsi="宋体" w:cs="宋体"/>
          <w:sz w:val="24"/>
          <w:szCs w:val="24"/>
          <w:highlight w:val="none"/>
          <w:lang w:val="en-US" w:eastAsia="zh-CN"/>
        </w:rPr>
        <w:t>3.具有施工劳务资质且具有有效的安全生产许可证；</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本项目不接受联合体</w:t>
      </w:r>
      <w:r>
        <w:rPr>
          <w:rFonts w:hint="eastAsia" w:ascii="宋体" w:hAnsi="宋体" w:cs="宋体"/>
          <w:sz w:val="24"/>
          <w:szCs w:val="24"/>
          <w:highlight w:val="none"/>
          <w:lang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15:00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16</w:t>
      </w:r>
      <w:bookmarkStart w:id="39" w:name="_GoBack"/>
      <w:bookmarkEnd w:id="39"/>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下午16</w:t>
      </w:r>
      <w:r>
        <w:rPr>
          <w:rFonts w:hint="eastAsia" w:ascii="宋体" w:hAnsi="宋体" w:cs="宋体"/>
          <w:color w:val="auto"/>
          <w:sz w:val="24"/>
          <w:szCs w:val="24"/>
          <w:highlight w:val="none"/>
          <w:lang w:val="en-US" w:eastAsia="zh-CN"/>
        </w:rPr>
        <w:t>:00</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highlight w:val="none"/>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rPr>
        <w:t>五、联系</w:t>
      </w:r>
      <w:r>
        <w:rPr>
          <w:rFonts w:hint="eastAsia" w:ascii="宋体" w:hAnsi="宋体" w:cs="宋体"/>
          <w:b/>
          <w:bCs/>
          <w:sz w:val="24"/>
          <w:szCs w:val="24"/>
          <w:highlight w:val="none"/>
          <w:lang w:val="en-US" w:eastAsia="zh-CN"/>
        </w:rPr>
        <w:t>方式</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名称</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徐工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rPr>
          <w:rStyle w:val="21"/>
          <w:rFonts w:hint="eastAsia" w:ascii="宋体" w:hAnsi="宋体" w:eastAsia="宋体" w:cs="宋体"/>
          <w:b/>
          <w:bCs/>
          <w:sz w:val="30"/>
          <w:szCs w:val="30"/>
          <w:highlight w:val="none"/>
          <w:lang w:val="en-US" w:eastAsia="zh-CN"/>
        </w:rPr>
      </w:pPr>
      <w:r>
        <w:rPr>
          <w:rFonts w:hint="eastAsia" w:ascii="宋体" w:hAnsi="宋体" w:cs="宋体"/>
          <w:bCs/>
          <w:sz w:val="24"/>
          <w:szCs w:val="24"/>
          <w:highlight w:val="none"/>
          <w:lang w:val="en-US" w:eastAsia="zh-CN"/>
        </w:rPr>
        <w:br w:type="page"/>
      </w: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b w:val="0"/>
          <w:bCs/>
          <w:color w:val="000000"/>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val="0"/>
          <w:bCs/>
          <w:color w:val="000000"/>
          <w:sz w:val="24"/>
          <w:szCs w:val="24"/>
          <w:highlight w:val="none"/>
          <w:lang w:val="en-US" w:eastAsia="zh-CN"/>
        </w:rPr>
        <w:t>包括但不限于在规定服务期限内完成业主要求的所有苗木移植、外运，并做好现场的场地平整及运输路线内的道路清理工作，参审单位要保证成活率不低于95%，养护1年。</w:t>
      </w:r>
    </w:p>
    <w:p>
      <w:pPr>
        <w:pageBreakBefore w:val="0"/>
        <w:widowControl w:val="0"/>
        <w:kinsoku/>
        <w:wordWrap/>
        <w:overflowPunct/>
        <w:topLinePunct w:val="0"/>
        <w:bidi w:val="0"/>
        <w:snapToGrid/>
        <w:spacing w:line="360" w:lineRule="auto"/>
        <w:ind w:firstLine="480" w:firstLineChars="200"/>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二、</w:t>
      </w:r>
      <w:r>
        <w:rPr>
          <w:rFonts w:hint="eastAsia" w:asciiTheme="minorEastAsia" w:hAnsiTheme="minorEastAsia" w:eastAsiaTheme="minorEastAsia" w:cstheme="minorEastAsia"/>
          <w:b/>
          <w:bCs w:val="0"/>
          <w:color w:val="000000"/>
          <w:sz w:val="24"/>
          <w:szCs w:val="24"/>
          <w:highlight w:val="none"/>
          <w:lang w:val="en-US" w:eastAsia="zh-CN"/>
        </w:rPr>
        <w:t>服务期限</w:t>
      </w:r>
      <w:r>
        <w:rPr>
          <w:rFonts w:hint="eastAsia" w:asciiTheme="minorEastAsia" w:hAnsiTheme="minorEastAsia" w:eastAsiaTheme="minorEastAsia" w:cstheme="minorEastAsia"/>
          <w:b w:val="0"/>
          <w:bCs/>
          <w:color w:val="000000"/>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lang w:val="en-US" w:eastAsia="zh-CN"/>
        </w:rPr>
        <w:t>10天。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三、付款方式：</w:t>
      </w:r>
      <w:r>
        <w:rPr>
          <w:rFonts w:hint="eastAsia" w:asciiTheme="minorEastAsia" w:hAnsiTheme="minorEastAsia" w:eastAsiaTheme="minorEastAsia" w:cstheme="minorEastAsia"/>
          <w:b w:val="0"/>
          <w:bCs w:val="0"/>
          <w:sz w:val="24"/>
          <w:szCs w:val="24"/>
          <w:highlight w:val="none"/>
          <w:lang w:val="en-US" w:eastAsia="zh-CN"/>
        </w:rPr>
        <w:t xml:space="preserve">无预付款，苗木移植完工并验收合格后付至实际工程量对应价款的70%，成活养护1个月后付款95%；5%余款一年养护期满或提供预付款保函后付清。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四、参审文件的递交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06</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13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06</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16</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5</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5"/>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3、本项目</w:t>
      </w:r>
      <w:r>
        <w:rPr>
          <w:rFonts w:asciiTheme="minorEastAsia" w:hAnsiTheme="minorEastAsia" w:eastAsiaTheme="minorEastAsia"/>
          <w:sz w:val="24"/>
          <w:highlight w:val="none"/>
        </w:rPr>
        <w:t>采用最低</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价法，</w:t>
      </w:r>
      <w:r>
        <w:rPr>
          <w:rFonts w:hint="eastAsia" w:asciiTheme="minorEastAsia" w:hAnsiTheme="minorEastAsia" w:eastAsiaTheme="minorEastAsia"/>
          <w:sz w:val="24"/>
          <w:highlight w:val="none"/>
          <w:lang w:eastAsia="zh-CN"/>
        </w:rPr>
        <w:t>评审</w:t>
      </w:r>
      <w:r>
        <w:rPr>
          <w:rFonts w:asciiTheme="minorEastAsia" w:hAnsiTheme="minorEastAsia" w:eastAsiaTheme="minorEastAsia"/>
          <w:sz w:val="24"/>
          <w:highlight w:val="none"/>
        </w:rPr>
        <w:t>结果按</w:t>
      </w:r>
      <w:r>
        <w:rPr>
          <w:rFonts w:hint="eastAsia" w:asciiTheme="minorEastAsia" w:hAnsiTheme="minorEastAsia" w:eastAsiaTheme="minorEastAsia"/>
          <w:sz w:val="24"/>
          <w:highlight w:val="none"/>
          <w:lang w:eastAsia="zh-CN"/>
        </w:rPr>
        <w:t>各参审单位</w:t>
      </w:r>
      <w:r>
        <w:rPr>
          <w:rFonts w:asciiTheme="minorEastAsia" w:hAnsiTheme="minorEastAsia" w:eastAsiaTheme="minorEastAsia"/>
          <w:sz w:val="24"/>
          <w:highlight w:val="none"/>
        </w:rPr>
        <w:t>的报价由低到高顺序排列</w:t>
      </w:r>
      <w:r>
        <w:rPr>
          <w:rFonts w:hint="eastAsia" w:asciiTheme="minorEastAsia" w:hAnsiTheme="minorEastAsia" w:eastAsiaTheme="minorEastAsia"/>
          <w:sz w:val="24"/>
          <w:highlight w:val="none"/>
          <w:lang w:eastAsia="zh-CN"/>
        </w:rPr>
        <w:t>（评委会认为参审单位报价低于成本价</w:t>
      </w:r>
      <w:r>
        <w:rPr>
          <w:rFonts w:hint="eastAsia" w:asciiTheme="minorEastAsia" w:hAnsiTheme="minorEastAsia" w:eastAsiaTheme="minorEastAsia"/>
          <w:sz w:val="24"/>
          <w:highlight w:val="none"/>
          <w:lang w:val="en-US" w:eastAsia="zh-CN"/>
        </w:rPr>
        <w:t>或高于拦标价</w:t>
      </w:r>
      <w:r>
        <w:rPr>
          <w:rFonts w:hint="eastAsia" w:asciiTheme="minorEastAsia" w:hAnsiTheme="minorEastAsia" w:eastAsiaTheme="minorEastAsia"/>
          <w:sz w:val="24"/>
          <w:highlight w:val="none"/>
          <w:lang w:eastAsia="zh-CN"/>
        </w:rPr>
        <w:t>的，其参审文件无效，不参与排序），依次进行评审，评审通过的即为入选单位</w:t>
      </w:r>
      <w:r>
        <w:rPr>
          <w:rFonts w:asciiTheme="minorEastAsia" w:hAnsiTheme="minorEastAsia" w:eastAsiaTheme="minorEastAsia"/>
          <w:sz w:val="24"/>
          <w:highlight w:val="none"/>
        </w:rPr>
        <w:t>。报价</w:t>
      </w:r>
      <w:r>
        <w:rPr>
          <w:rFonts w:hint="eastAsia" w:asciiTheme="minorEastAsia" w:hAnsiTheme="minorEastAsia" w:eastAsiaTheme="minorEastAsia"/>
          <w:sz w:val="24"/>
          <w:highlight w:val="none"/>
        </w:rPr>
        <w:t>出现两家或两家以上相同者，则采取</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委员会</w:t>
      </w:r>
      <w:r>
        <w:rPr>
          <w:rFonts w:hint="eastAsia" w:asciiTheme="minorEastAsia" w:hAnsiTheme="minorEastAsia" w:eastAsiaTheme="minorEastAsia"/>
          <w:sz w:val="24"/>
          <w:highlight w:val="none"/>
          <w:lang w:eastAsia="zh-CN"/>
        </w:rPr>
        <w:t>投票的</w:t>
      </w:r>
      <w:r>
        <w:rPr>
          <w:rFonts w:hint="eastAsia" w:asciiTheme="minorEastAsia" w:hAnsiTheme="minorEastAsia" w:eastAsiaTheme="minorEastAsia"/>
          <w:sz w:val="24"/>
          <w:highlight w:val="none"/>
        </w:rPr>
        <w:t>方式确定</w:t>
      </w:r>
      <w:r>
        <w:rPr>
          <w:rFonts w:hint="eastAsia" w:asciiTheme="minorEastAsia" w:hAnsiTheme="minorEastAsia" w:eastAsiaTheme="minorEastAsia"/>
          <w:sz w:val="24"/>
          <w:highlight w:val="none"/>
          <w:lang w:eastAsia="zh-CN"/>
        </w:rPr>
        <w:t>参审单位</w:t>
      </w:r>
      <w:r>
        <w:rPr>
          <w:rFonts w:hint="eastAsia" w:asciiTheme="minorEastAsia" w:hAnsiTheme="minorEastAsia" w:eastAsiaTheme="minorEastAsia"/>
          <w:sz w:val="24"/>
          <w:highlight w:val="none"/>
        </w:rPr>
        <w:t>顺序。</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w:t>
      </w:r>
      <w:r>
        <w:rPr>
          <w:rFonts w:hint="eastAsia" w:ascii="宋体" w:hAnsi="宋体" w:eastAsia="宋体" w:cs="宋体"/>
          <w:sz w:val="24"/>
          <w:szCs w:val="24"/>
          <w:highlight w:val="none"/>
          <w:lang w:eastAsia="zh-CN"/>
        </w:rPr>
        <w:t>的（</w:t>
      </w:r>
      <w:r>
        <w:rPr>
          <w:rFonts w:hint="eastAsia" w:hAnsi="宋体" w:cs="宋体"/>
          <w:bCs/>
          <w:sz w:val="24"/>
          <w:szCs w:val="24"/>
          <w:highlight w:val="none"/>
          <w:lang w:val="en-US" w:eastAsia="zh-CN"/>
        </w:rPr>
        <w:t>必须同时有三家及以上有效参审单位参与竞标</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09738521"/>
      <w:bookmarkStart w:id="8" w:name="_Hlt509738509"/>
      <w:bookmarkStart w:id="9" w:name="_Hlt519045391"/>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三河古镇研学游基地项目苗木移植</w:t>
      </w:r>
    </w:p>
    <w:p>
      <w:pPr>
        <w:pStyle w:val="2"/>
        <w:rPr>
          <w:rFonts w:hint="default"/>
          <w:lang w:val="en-US" w:eastAsia="zh-CN"/>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2023</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2"/>
        <w:numPr>
          <w:ilvl w:val="0"/>
          <w:numId w:val="0"/>
        </w:numPr>
        <w:spacing w:before="120" w:beforeLines="0" w:after="120" w:afterLines="0" w:line="360" w:lineRule="auto"/>
        <w:jc w:val="center"/>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10" w:name="_Hlt519045798"/>
      <w:bookmarkEnd w:id="10"/>
      <w:bookmarkStart w:id="11" w:name="_Hlt509716873"/>
      <w:bookmarkEnd w:id="11"/>
      <w:bookmarkStart w:id="12" w:name="_Hlt533409360"/>
      <w:bookmarkEnd w:id="12"/>
      <w:bookmarkStart w:id="13" w:name="_Hlt533408916"/>
      <w:bookmarkEnd w:id="13"/>
      <w:bookmarkStart w:id="14" w:name="_Hlt533408409"/>
      <w:bookmarkEnd w:id="14"/>
      <w:bookmarkStart w:id="15" w:name="_Toc13084"/>
      <w:bookmarkStart w:id="16" w:name="_Toc516969097"/>
      <w:bookmarkStart w:id="17" w:name="_Toc197934563"/>
      <w:r>
        <w:rPr>
          <w:rFonts w:hint="eastAsia" w:hAnsi="宋体" w:cs="宋体"/>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p>
      <w:pPr>
        <w:pStyle w:val="2"/>
        <w:rPr>
          <w:rFonts w:hint="eastAsia"/>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4"/>
              <w:spacing w:before="120" w:beforeLines="0" w:line="360" w:lineRule="auto"/>
              <w:ind w:firstLine="0"/>
              <w:jc w:val="center"/>
              <w:rPr>
                <w:rFonts w:hint="eastAsia" w:ascii="宋体" w:hAnsi="宋体" w:eastAsia="仿宋_GB2312" w:cs="宋体"/>
                <w:bCs/>
                <w:sz w:val="28"/>
                <w:szCs w:val="28"/>
                <w:highlight w:val="none"/>
                <w:u w:val="single"/>
                <w:lang w:val="en-US" w:eastAsia="zh-CN"/>
              </w:rPr>
            </w:pPr>
            <w:r>
              <w:rPr>
                <w:rFonts w:hint="eastAsia" w:ascii="宋体" w:hAnsi="宋体" w:cs="宋体"/>
                <w:bCs/>
                <w:sz w:val="28"/>
                <w:szCs w:val="28"/>
                <w:highlight w:val="none"/>
                <w:u w:val="single"/>
                <w:lang w:val="en-US" w:eastAsia="zh-CN"/>
              </w:rPr>
              <w:t>三河古镇研学游基地项目苗木移植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总报价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rPr>
          <w:rFonts w:hint="eastAsia" w:ascii="宋体" w:hAnsi="宋体" w:cs="宋体"/>
          <w:b/>
          <w:sz w:val="28"/>
          <w:szCs w:val="28"/>
          <w:highlight w:val="none"/>
        </w:rPr>
      </w:pPr>
      <w:r>
        <w:rPr>
          <w:rFonts w:hint="eastAsia" w:ascii="宋体" w:hAnsi="宋体" w:cs="宋体"/>
          <w:b/>
          <w:sz w:val="28"/>
          <w:szCs w:val="28"/>
          <w:highlight w:val="none"/>
        </w:rPr>
        <w:br w:type="page"/>
      </w:r>
    </w:p>
    <w:bookmarkEnd w:id="16"/>
    <w:tbl>
      <w:tblPr>
        <w:tblStyle w:val="17"/>
        <w:tblpPr w:leftFromText="180" w:rightFromText="180" w:vertAnchor="text" w:horzAnchor="page" w:tblpX="1680" w:tblpY="29"/>
        <w:tblOverlap w:val="neve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5"/>
        <w:gridCol w:w="2155"/>
        <w:gridCol w:w="1419"/>
        <w:gridCol w:w="1495"/>
        <w:gridCol w:w="1511"/>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8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36"/>
                <w:szCs w:val="36"/>
                <w:u w:val="none"/>
              </w:rPr>
            </w:pPr>
            <w:bookmarkStart w:id="18" w:name="_Toc6245"/>
            <w:bookmarkStart w:id="19" w:name="_Toc500337339"/>
            <w:bookmarkStart w:id="20" w:name="_Toc19990"/>
            <w:r>
              <w:rPr>
                <w:rFonts w:hint="eastAsia"/>
                <w:highlight w:val="none"/>
                <w:lang w:val="en-US" w:eastAsia="zh-CN"/>
              </w:rPr>
              <w:br w:type="page"/>
            </w:r>
            <w:r>
              <w:rPr>
                <w:rFonts w:hint="eastAsia" w:ascii="宋体" w:hAnsi="宋体" w:eastAsia="宋体" w:cs="宋体"/>
                <w:i w:val="0"/>
                <w:iCs w:val="0"/>
                <w:color w:val="000000"/>
                <w:kern w:val="0"/>
                <w:sz w:val="36"/>
                <w:szCs w:val="36"/>
                <w:u w:val="none"/>
                <w:lang w:val="en-US" w:eastAsia="zh-CN" w:bidi="ar"/>
              </w:rPr>
              <w:t>三河</w:t>
            </w:r>
            <w:r>
              <w:rPr>
                <w:rFonts w:hint="eastAsia" w:ascii="宋体" w:hAnsi="宋体" w:cs="宋体"/>
                <w:i w:val="0"/>
                <w:iCs w:val="0"/>
                <w:color w:val="000000"/>
                <w:kern w:val="0"/>
                <w:sz w:val="36"/>
                <w:szCs w:val="36"/>
                <w:u w:val="none"/>
                <w:lang w:val="en-US" w:eastAsia="zh-CN" w:bidi="ar"/>
              </w:rPr>
              <w:t>古</w:t>
            </w:r>
            <w:r>
              <w:rPr>
                <w:rFonts w:hint="eastAsia" w:ascii="宋体" w:hAnsi="宋体" w:eastAsia="宋体" w:cs="宋体"/>
                <w:i w:val="0"/>
                <w:iCs w:val="0"/>
                <w:color w:val="000000"/>
                <w:kern w:val="0"/>
                <w:sz w:val="36"/>
                <w:szCs w:val="36"/>
                <w:u w:val="none"/>
                <w:lang w:val="en-US" w:eastAsia="zh-CN" w:bidi="ar"/>
              </w:rPr>
              <w:t>镇研学游基地项目苗木移植报价清单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4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数量（棵）</w:t>
            </w:r>
          </w:p>
        </w:tc>
        <w:tc>
          <w:tcPr>
            <w:tcW w:w="15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控制价单价（元）</w:t>
            </w:r>
          </w:p>
        </w:tc>
        <w:tc>
          <w:tcPr>
            <w:tcW w:w="15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控制价（元）</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胸径10-15cm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胸径16-20cm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胸径20-30cm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胸径30cm以上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桂花300cm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养护期1年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1、移植苗木品种主要是香樟、栾树、大叶女贞、桂花及柳树；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2、报价包含起挖、运输、栽植及成活养护1个月,成活率达95%,养护期1年；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3、报价包含开具劳务普通发票；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4、移树点距离项目约2km，甲方指定移树位置；</w:t>
            </w:r>
          </w:p>
        </w:tc>
      </w:tr>
    </w:tbl>
    <w:p>
      <w:pPr>
        <w:rPr>
          <w:rFonts w:hint="eastAsia"/>
          <w:highlight w:val="none"/>
          <w:lang w:val="en-US" w:eastAsia="zh-CN"/>
        </w:rPr>
      </w:pPr>
    </w:p>
    <w:p>
      <w:pPr>
        <w:pStyle w:val="2"/>
        <w:rPr>
          <w:rFonts w:hint="eastAsia"/>
          <w:lang w:val="en-US" w:eastAsia="zh-CN"/>
        </w:rPr>
      </w:pPr>
    </w:p>
    <w:p>
      <w:p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br w:type="page"/>
      </w:r>
    </w:p>
    <w:p>
      <w:pPr>
        <w:pStyle w:val="2"/>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sz w:val="28"/>
          <w:szCs w:val="28"/>
          <w:highlight w:val="none"/>
          <w:lang w:val="en-US" w:eastAsia="zh-CN"/>
        </w:rPr>
        <w:t>二</w:t>
      </w:r>
      <w:bookmarkEnd w:id="18"/>
      <w:r>
        <w:rPr>
          <w:rFonts w:hint="eastAsia" w:hAnsi="宋体" w:cs="宋体"/>
          <w:sz w:val="28"/>
          <w:szCs w:val="28"/>
          <w:highlight w:val="none"/>
          <w:lang w:val="en-US" w:eastAsia="zh-CN"/>
        </w:rPr>
        <w:t>、</w:t>
      </w:r>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227"/>
      <w:bookmarkStart w:id="22" w:name="_Toc535241130"/>
      <w:bookmarkStart w:id="23" w:name="_Toc535241084"/>
      <w:bookmarkStart w:id="24" w:name="_Toc224103497"/>
      <w:bookmarkStart w:id="25" w:name="_Toc224103498"/>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ascii="宋体" w:hAnsi="宋体"/>
          <w:color w:val="auto"/>
          <w:szCs w:val="21"/>
          <w:highlight w:val="none"/>
        </w:rPr>
      </w:pPr>
    </w:p>
    <w:p>
      <w:pPr>
        <w:pStyle w:val="7"/>
        <w:rPr>
          <w:rFonts w:hint="eastAsia" w:ascii="宋体" w:hAnsi="宋体"/>
          <w:color w:val="auto"/>
          <w:szCs w:val="21"/>
          <w:highlight w:val="none"/>
        </w:rPr>
      </w:pPr>
    </w:p>
    <w:p>
      <w:pPr>
        <w:pStyle w:val="8"/>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2"/>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7"/>
        <w:rPr>
          <w:rFonts w:hint="eastAsia"/>
          <w:highlight w:val="none"/>
          <w:lang w:val="en-US" w:eastAsia="zh-CN"/>
        </w:rPr>
      </w:pPr>
    </w:p>
    <w:p>
      <w:pPr>
        <w:pStyle w:val="2"/>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hAnsi="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8"/>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rPr>
        <w:t>“</w:t>
      </w:r>
      <w:r>
        <w:rPr>
          <w:rFonts w:hint="eastAsia" w:ascii="宋体" w:hAnsi="宋体" w:cs="宋体"/>
          <w:sz w:val="24"/>
          <w:szCs w:val="24"/>
          <w:highlight w:val="none"/>
          <w:u w:val="none"/>
        </w:rPr>
        <w:t xml:space="preserve"> </w:t>
      </w:r>
      <w:r>
        <w:rPr>
          <w:rFonts w:hint="eastAsia" w:ascii="宋体" w:hAnsi="宋体" w:cs="宋体"/>
          <w:sz w:val="24"/>
          <w:szCs w:val="24"/>
          <w:highlight w:val="none"/>
          <w:u w:val="single"/>
          <w:lang w:eastAsia="zh-CN"/>
        </w:rPr>
        <w:t>三河古镇研学游基地项目苗木移植</w:t>
      </w:r>
      <w:r>
        <w:rPr>
          <w:rFonts w:hint="eastAsia" w:ascii="宋体" w:hAnsi="宋体" w:cs="宋体"/>
          <w:sz w:val="24"/>
          <w:szCs w:val="24"/>
          <w:highlight w:val="none"/>
          <w:u w:val="none"/>
        </w:rPr>
        <w:t>”</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2"/>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hAnsi="宋体" w:cs="宋体"/>
          <w:b/>
          <w:bCs/>
          <w:sz w:val="28"/>
          <w:szCs w:val="28"/>
          <w:highlight w:val="none"/>
          <w:lang w:eastAsia="zh-CN"/>
        </w:rPr>
        <w:t>、</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500337343"/>
      <w:bookmarkStart w:id="30" w:name="_Toc19826"/>
      <w:r>
        <w:rPr>
          <w:rFonts w:hint="eastAsia" w:hAnsi="宋体" w:cs="宋体"/>
          <w:sz w:val="28"/>
          <w:szCs w:val="28"/>
          <w:highlight w:val="none"/>
          <w:lang w:val="en-US" w:eastAsia="zh-CN"/>
        </w:rPr>
        <w:t>五</w:t>
      </w:r>
      <w:bookmarkEnd w:id="29"/>
      <w:bookmarkEnd w:id="30"/>
      <w:bookmarkStart w:id="31" w:name="_Toc26965"/>
      <w:bookmarkStart w:id="32" w:name="_Toc516969105"/>
      <w:bookmarkStart w:id="33" w:name="_Toc220232402"/>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122185"/>
      <w:bookmarkStart w:id="35" w:name="_Toc396317511"/>
      <w:bookmarkStart w:id="36" w:name="_Toc17338"/>
      <w:bookmarkStart w:id="37" w:name="_Toc500337346"/>
      <w:bookmarkStart w:id="38" w:name="_Toc220232403"/>
    </w:p>
    <w:p>
      <w:pPr>
        <w:pStyle w:val="2"/>
        <w:rPr>
          <w:rFonts w:hint="eastAsia" w:hAnsi="宋体" w:cs="宋体"/>
          <w:sz w:val="28"/>
          <w:szCs w:val="28"/>
          <w:highlight w:val="none"/>
          <w:lang w:val="en-US" w:eastAsia="zh-CN"/>
        </w:rPr>
      </w:pPr>
    </w:p>
    <w:p>
      <w:pPr>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lang w:val="en-US" w:eastAsia="zh-CN"/>
        </w:rPr>
      </w:pPr>
    </w:p>
    <w:p>
      <w:pPr>
        <w:pStyle w:val="2"/>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7"/>
        <w:rPr>
          <w:rFonts w:hint="eastAsia"/>
          <w:highlight w:val="none"/>
          <w:lang w:val="en-US" w:eastAsia="zh-CN"/>
        </w:rPr>
      </w:pPr>
    </w:p>
    <w:p>
      <w:pPr>
        <w:pStyle w:val="7"/>
        <w:rPr>
          <w:rFonts w:hint="eastAsia"/>
          <w:highlight w:val="none"/>
          <w:lang w:val="en-US" w:eastAsia="zh-CN"/>
        </w:rPr>
      </w:pPr>
    </w:p>
    <w:p>
      <w:pPr>
        <w:pStyle w:val="2"/>
        <w:rPr>
          <w:rFonts w:hint="eastAsia" w:hAnsi="宋体" w:cs="宋体"/>
          <w:sz w:val="28"/>
          <w:szCs w:val="28"/>
          <w:highlight w:val="none"/>
        </w:rPr>
      </w:pPr>
      <w:r>
        <w:rPr>
          <w:rFonts w:hint="eastAsia" w:hAnsi="宋体" w:cs="宋体"/>
          <w:sz w:val="28"/>
          <w:szCs w:val="28"/>
          <w:highlight w:val="none"/>
          <w:lang w:val="en-US" w:eastAsia="zh-CN"/>
        </w:rPr>
        <w:t>六</w:t>
      </w:r>
      <w:bookmarkEnd w:id="34"/>
      <w:bookmarkEnd w:id="35"/>
      <w:r>
        <w:rPr>
          <w:rFonts w:hint="eastAsia" w:hAnsi="宋体" w:cs="宋体"/>
          <w:sz w:val="28"/>
          <w:szCs w:val="28"/>
          <w:highlight w:val="none"/>
          <w:lang w:eastAsia="zh-CN"/>
        </w:rPr>
        <w:t>、其他资料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mIzMmU4ZTY1ZGUzNjcxMjgwNTRjOWI4MDdlYTEifQ=="/>
  </w:docVars>
  <w:rsids>
    <w:rsidRoot w:val="00000000"/>
    <w:rsid w:val="001B3A0B"/>
    <w:rsid w:val="009B7CF9"/>
    <w:rsid w:val="03D177E1"/>
    <w:rsid w:val="04526E7B"/>
    <w:rsid w:val="081952B3"/>
    <w:rsid w:val="099F10DB"/>
    <w:rsid w:val="0E033F7A"/>
    <w:rsid w:val="0E4775D9"/>
    <w:rsid w:val="0EE91E83"/>
    <w:rsid w:val="135056C8"/>
    <w:rsid w:val="13C47160"/>
    <w:rsid w:val="140C4DDD"/>
    <w:rsid w:val="146E4BD8"/>
    <w:rsid w:val="158F4327"/>
    <w:rsid w:val="175054C9"/>
    <w:rsid w:val="182C1032"/>
    <w:rsid w:val="1B841D1D"/>
    <w:rsid w:val="1BF22A8E"/>
    <w:rsid w:val="1CDD28FB"/>
    <w:rsid w:val="23A62190"/>
    <w:rsid w:val="23E028CC"/>
    <w:rsid w:val="26356BAE"/>
    <w:rsid w:val="290D27BA"/>
    <w:rsid w:val="292559B5"/>
    <w:rsid w:val="2BB71AA6"/>
    <w:rsid w:val="2CCB7038"/>
    <w:rsid w:val="2D3A48A4"/>
    <w:rsid w:val="30DE4562"/>
    <w:rsid w:val="37022D60"/>
    <w:rsid w:val="39AB1468"/>
    <w:rsid w:val="3A587E8F"/>
    <w:rsid w:val="3C72614E"/>
    <w:rsid w:val="3E1901BE"/>
    <w:rsid w:val="403C5749"/>
    <w:rsid w:val="4374368A"/>
    <w:rsid w:val="43CC6D08"/>
    <w:rsid w:val="449E1DC3"/>
    <w:rsid w:val="47C040BF"/>
    <w:rsid w:val="48044450"/>
    <w:rsid w:val="48536283"/>
    <w:rsid w:val="48811DCD"/>
    <w:rsid w:val="48C269A2"/>
    <w:rsid w:val="4A2000F0"/>
    <w:rsid w:val="4A7D1684"/>
    <w:rsid w:val="4C113543"/>
    <w:rsid w:val="4DD50B0D"/>
    <w:rsid w:val="4EB85956"/>
    <w:rsid w:val="54A70F6B"/>
    <w:rsid w:val="567F608E"/>
    <w:rsid w:val="57D87E20"/>
    <w:rsid w:val="5C0629E9"/>
    <w:rsid w:val="5CFE5FDA"/>
    <w:rsid w:val="60A14592"/>
    <w:rsid w:val="64A5505E"/>
    <w:rsid w:val="6597619F"/>
    <w:rsid w:val="6608232F"/>
    <w:rsid w:val="66EF67B7"/>
    <w:rsid w:val="68053078"/>
    <w:rsid w:val="68816AA3"/>
    <w:rsid w:val="6D147674"/>
    <w:rsid w:val="6D9A2DFC"/>
    <w:rsid w:val="71353C29"/>
    <w:rsid w:val="7D8A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8"/>
    <w:qFormat/>
    <w:uiPriority w:val="0"/>
    <w:rPr>
      <w:rFonts w:ascii="宋体" w:hAnsi="Arial"/>
      <w:sz w:val="28"/>
    </w:rPr>
  </w:style>
  <w:style w:type="paragraph" w:styleId="8">
    <w:name w:val="Date"/>
    <w:basedOn w:val="1"/>
    <w:next w:val="1"/>
    <w:qFormat/>
    <w:uiPriority w:val="0"/>
    <w:rPr>
      <w:b/>
      <w:kern w:val="2"/>
      <w:sz w:val="28"/>
    </w:rPr>
  </w:style>
  <w:style w:type="paragraph" w:styleId="9">
    <w:name w:val="Body Text Indent"/>
    <w:basedOn w:val="1"/>
    <w:next w:val="10"/>
    <w:qFormat/>
    <w:uiPriority w:val="0"/>
    <w:pPr>
      <w:ind w:firstLine="645"/>
    </w:pPr>
    <w:rPr>
      <w:rFonts w:ascii="楷体_GB2312" w:eastAsia="楷体_GB2312"/>
      <w:kern w:val="2"/>
      <w:sz w:val="32"/>
      <w:lang w:val="en-US" w:eastAsia="zh-CN" w:bidi="ar-SA"/>
    </w:rPr>
  </w:style>
  <w:style w:type="paragraph" w:styleId="10">
    <w:name w:val="envelope return"/>
    <w:basedOn w:val="1"/>
    <w:qFormat/>
    <w:uiPriority w:val="0"/>
    <w:pPr>
      <w:snapToGrid w:val="0"/>
    </w:pPr>
    <w:rPr>
      <w:rFonts w:ascii="Arial" w:hAnsi="Arial"/>
    </w:rPr>
  </w:style>
  <w:style w:type="paragraph" w:styleId="11">
    <w:name w:val="Body Text Indent 2"/>
    <w:basedOn w:val="1"/>
    <w:qFormat/>
    <w:uiPriority w:val="0"/>
    <w:pPr>
      <w:spacing w:line="360" w:lineRule="exact"/>
      <w:ind w:firstLine="600" w:firstLineChars="250"/>
      <w:jc w:val="left"/>
    </w:pPr>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9"/>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4285</Words>
  <Characters>4532</Characters>
  <Lines>0</Lines>
  <Paragraphs>0</Paragraphs>
  <TotalTime>7</TotalTime>
  <ScaleCrop>false</ScaleCrop>
  <LinksUpToDate>false</LinksUpToDate>
  <CharactersWithSpaces>5391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植物要吃肉</cp:lastModifiedBy>
  <dcterms:modified xsi:type="dcterms:W3CDTF">2023-06-15T00:48:18Z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E3DF3910366B4EF1A808FEBAB76ED9DA_13</vt:lpwstr>
  </property>
</Properties>
</file>