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44"/>
          <w:szCs w:val="44"/>
          <w:highlight w:val="none"/>
        </w:rPr>
      </w:pPr>
    </w:p>
    <w:p>
      <w:pPr>
        <w:spacing w:before="240" w:beforeLines="100" w:line="360" w:lineRule="auto"/>
        <w:ind w:left="0" w:leftChars="0" w:firstLine="0" w:firstLineChars="0"/>
        <w:jc w:val="center"/>
        <w:rPr>
          <w:rFonts w:hint="default" w:ascii="宋体" w:hAnsi="宋体" w:eastAsia="宋体"/>
          <w:sz w:val="24"/>
          <w:highlight w:val="none"/>
          <w:lang w:val="en-US" w:eastAsia="zh-CN"/>
        </w:rPr>
      </w:pPr>
      <w:r>
        <w:rPr>
          <w:rFonts w:hint="eastAsia" w:ascii="黑体" w:hAnsi="黑体" w:eastAsia="黑体"/>
          <w:sz w:val="44"/>
          <w:szCs w:val="44"/>
          <w:highlight w:val="none"/>
          <w:lang w:val="en-US" w:eastAsia="zh-CN"/>
        </w:rPr>
        <w:t>李府粮仓微露营基地项目监理</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7"/>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宋体" w:hAnsi="宋体"/>
          <w:sz w:val="32"/>
          <w:szCs w:val="32"/>
          <w:highlight w:val="none"/>
        </w:rPr>
        <w:t>年</w:t>
      </w:r>
      <w:r>
        <w:rPr>
          <w:rFonts w:hint="eastAsia" w:ascii="宋体" w:hAnsi="宋体"/>
          <w:sz w:val="32"/>
          <w:szCs w:val="32"/>
          <w:highlight w:val="none"/>
          <w:lang w:val="en-US" w:eastAsia="zh-CN"/>
        </w:rPr>
        <w:t>6</w:t>
      </w:r>
      <w:r>
        <w:rPr>
          <w:rFonts w:hint="eastAsia" w:ascii="宋体" w:hAnsi="宋体"/>
          <w:sz w:val="32"/>
          <w:szCs w:val="32"/>
          <w:highlight w:val="none"/>
        </w:rPr>
        <w:t>月</w:t>
      </w:r>
    </w:p>
    <w:p>
      <w:pPr>
        <w:pStyle w:val="16"/>
        <w:rPr>
          <w:rFonts w:hint="eastAsia" w:ascii="宋体" w:hAnsi="宋体"/>
          <w:sz w:val="32"/>
          <w:szCs w:val="32"/>
          <w:highlight w:val="none"/>
        </w:rPr>
      </w:pPr>
    </w:p>
    <w:p>
      <w:pPr>
        <w:pStyle w:val="14"/>
        <w:rPr>
          <w:rFonts w:hint="eastAsia"/>
          <w:highlight w:val="none"/>
        </w:rPr>
      </w:pP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现对“李府粮仓微露营基地项目</w:t>
      </w:r>
      <w:r>
        <w:rPr>
          <w:rFonts w:hint="eastAsia" w:ascii="宋体" w:hAnsi="宋体" w:cs="宋体"/>
          <w:sz w:val="24"/>
          <w:szCs w:val="24"/>
          <w:highlight w:val="none"/>
          <w:u w:val="none"/>
          <w:lang w:val="en-US" w:eastAsia="zh-CN"/>
        </w:rPr>
        <w:t>监理</w:t>
      </w:r>
      <w:r>
        <w:rPr>
          <w:rFonts w:hint="eastAsia" w:ascii="宋体" w:hAnsi="宋体" w:cs="宋体"/>
          <w:sz w:val="24"/>
          <w:szCs w:val="24"/>
          <w:highlight w:val="none"/>
          <w:u w:val="none"/>
        </w:rPr>
        <w:t>”</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1.项目名称：李府粮仓微露营基地项目</w:t>
      </w:r>
      <w:r>
        <w:rPr>
          <w:rFonts w:hint="eastAsia" w:ascii="宋体" w:hAnsi="宋体" w:cs="宋体"/>
          <w:sz w:val="24"/>
          <w:szCs w:val="24"/>
          <w:highlight w:val="none"/>
          <w:lang w:val="en-US" w:eastAsia="zh-CN"/>
        </w:rPr>
        <w:t>监理</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2.项目地点：项目位于</w:t>
      </w:r>
      <w:r>
        <w:rPr>
          <w:rFonts w:hint="eastAsia" w:ascii="宋体" w:hAnsi="宋体" w:cs="宋体"/>
          <w:sz w:val="24"/>
          <w:szCs w:val="24"/>
          <w:highlight w:val="none"/>
          <w:lang w:val="en-US" w:eastAsia="zh-CN"/>
        </w:rPr>
        <w:t>肥西三河镇</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概况：</w:t>
      </w:r>
      <w:r>
        <w:rPr>
          <w:rFonts w:hint="eastAsia" w:ascii="宋体" w:hAnsi="宋体" w:eastAsia="宋体" w:cs="宋体"/>
          <w:kern w:val="2"/>
          <w:sz w:val="24"/>
          <w:szCs w:val="24"/>
          <w:highlight w:val="none"/>
          <w:lang w:val="en-US" w:eastAsia="zh-CN" w:bidi="ar-SA"/>
        </w:rPr>
        <w:t>建设规模包含但不仅限于微露营基地项目内功能规划和设计，产品规划包含户外露营、野奢轰趴、休闲餐饮（3-4处）、互动设施（1-2处）、卫生间（1-2处）及其他配套等内容。</w:t>
      </w:r>
      <w:r>
        <w:rPr>
          <w:rFonts w:hint="eastAsia" w:ascii="宋体" w:hAnsi="宋体" w:cs="宋体"/>
          <w:kern w:val="2"/>
          <w:sz w:val="24"/>
          <w:szCs w:val="24"/>
          <w:highlight w:val="none"/>
          <w:lang w:val="en-US" w:eastAsia="zh-CN" w:bidi="ar-SA"/>
        </w:rPr>
        <w:t>工期约150天。</w:t>
      </w:r>
      <w:bookmarkStart w:id="39" w:name="_GoBack"/>
      <w:bookmarkEnd w:id="39"/>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营地规划需满足合肥市印发的《全市帐篷露营地规范化管理提升行动实施方案》（2022年12月1日颁布印发）。项目规划包括但不限于：营地正门及后勤门；营地设总帐篷面积不少于500平方米，其中营地室内活动/用餐空间要求不少于100平方米、住宿空间要求不少于400平方米且内含住宿用具、空调、内装、装饰物等；营地配备售卖配套空间约50平方米含酒水及售卖货品；营地内设下午茶功能的室内外场地不少于50平方米含内设及货品；营地内儿童无动力游乐设施；营地内绿化、微景观、网红场景、汀径；营地夜游微景观打造；营地精神堡垒；营地内包括但不限于售票、导览导视、卫生间、咨询服务中心等配套基础设施。</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5.资金来源：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5万元（各单位报价不得超过本预算）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工程服务</w:t>
      </w:r>
      <w:r>
        <w:rPr>
          <w:rFonts w:hint="eastAsia" w:ascii="宋体" w:hAnsi="宋体" w:cs="宋体"/>
          <w:sz w:val="24"/>
          <w:szCs w:val="24"/>
          <w:highlight w:val="none"/>
        </w:rPr>
        <w:t>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具有独立承担民事责任的能力</w:t>
      </w:r>
      <w:r>
        <w:rPr>
          <w:rFonts w:hint="eastAsia" w:ascii="宋体" w:hAnsi="宋体" w:cs="宋体"/>
          <w:sz w:val="24"/>
          <w:szCs w:val="24"/>
          <w:highlight w:val="none"/>
        </w:rPr>
        <w:t>；</w:t>
      </w:r>
    </w:p>
    <w:p>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具有有效的三证合一营业执照(或营业执照、组织机构代码证、税务登记证）</w:t>
      </w:r>
      <w:r>
        <w:rPr>
          <w:rFonts w:hint="eastAsia" w:hAnsi="宋体" w:cs="宋体"/>
          <w:b w:val="0"/>
          <w:bCs w:val="0"/>
          <w:kern w:val="2"/>
          <w:sz w:val="24"/>
          <w:szCs w:val="24"/>
          <w:highlight w:val="none"/>
          <w:lang w:val="en-US" w:eastAsia="zh-CN" w:bidi="ar-SA"/>
        </w:rPr>
        <w:t>；</w:t>
      </w:r>
    </w:p>
    <w:p>
      <w:pPr>
        <w:spacing w:line="360" w:lineRule="auto"/>
        <w:ind w:firstLine="480" w:firstLineChars="200"/>
        <w:rPr>
          <w:rFonts w:hint="default"/>
          <w:lang w:val="en-US" w:eastAsia="zh-CN"/>
        </w:rPr>
      </w:pPr>
      <w:r>
        <w:rPr>
          <w:rFonts w:hint="eastAsia" w:ascii="宋体" w:hAnsi="宋体" w:cs="宋体"/>
          <w:sz w:val="24"/>
          <w:szCs w:val="24"/>
          <w:highlight w:val="none"/>
          <w:lang w:val="en-US" w:eastAsia="zh-CN"/>
        </w:rPr>
        <w:t>3.具有房屋建筑工程监理乙级及以上资质或工程监理综合资质；</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4.需提供两个自</w:t>
      </w:r>
      <w:r>
        <w:rPr>
          <w:rFonts w:hint="eastAsia" w:ascii="宋体" w:hAnsi="宋体"/>
          <w:sz w:val="21"/>
          <w:szCs w:val="21"/>
          <w:highlight w:val="none"/>
          <w:lang w:val="en-US" w:eastAsia="zh-CN"/>
        </w:rPr>
        <w:t>2018年1月1日以来（时间以定案表落款日期或者合同签订时间为准），</w:t>
      </w:r>
      <w:r>
        <w:rPr>
          <w:rFonts w:hint="eastAsia" w:ascii="宋体" w:hAnsi="宋体"/>
          <w:sz w:val="21"/>
          <w:szCs w:val="21"/>
          <w:highlight w:val="none"/>
        </w:rPr>
        <w:t>不低于</w:t>
      </w:r>
      <w:r>
        <w:rPr>
          <w:rFonts w:hint="eastAsia" w:ascii="宋体" w:hAnsi="宋体"/>
          <w:sz w:val="21"/>
          <w:szCs w:val="21"/>
          <w:highlight w:val="none"/>
          <w:lang w:val="en-US" w:eastAsia="zh-CN"/>
        </w:rPr>
        <w:t>150</w:t>
      </w:r>
      <w:r>
        <w:rPr>
          <w:rFonts w:hint="eastAsia" w:ascii="宋体" w:hAnsi="宋体"/>
          <w:sz w:val="21"/>
          <w:szCs w:val="21"/>
          <w:highlight w:val="none"/>
        </w:rPr>
        <w:t>万元的</w:t>
      </w:r>
      <w:r>
        <w:rPr>
          <w:rFonts w:hint="eastAsia" w:ascii="宋体" w:hAnsi="宋体"/>
          <w:sz w:val="21"/>
          <w:szCs w:val="21"/>
          <w:highlight w:val="none"/>
          <w:lang w:val="en-US" w:eastAsia="zh-CN"/>
        </w:rPr>
        <w:t>房屋建筑</w:t>
      </w:r>
      <w:r>
        <w:rPr>
          <w:rFonts w:hint="eastAsia" w:ascii="宋体" w:hAnsi="宋体"/>
          <w:sz w:val="21"/>
          <w:szCs w:val="21"/>
          <w:highlight w:val="none"/>
        </w:rPr>
        <w:t>工程</w:t>
      </w:r>
      <w:r>
        <w:rPr>
          <w:rFonts w:hint="eastAsia" w:ascii="宋体" w:hAnsi="宋体"/>
          <w:sz w:val="21"/>
          <w:szCs w:val="21"/>
          <w:highlight w:val="none"/>
          <w:lang w:val="en-US" w:eastAsia="zh-CN"/>
        </w:rPr>
        <w:t>监理业绩（提供业绩的合同或者定案表扫描件或影印件）；</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5.本项目拟任</w:t>
      </w:r>
      <w:r>
        <w:rPr>
          <w:rFonts w:hint="eastAsia"/>
          <w:highlight w:val="none"/>
          <w:lang w:val="en-US" w:eastAsia="zh-CN"/>
        </w:rPr>
        <w:t>项目总监：具有国家级注册监理工程师证书；</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本项目不接受联合体</w:t>
      </w:r>
      <w:r>
        <w:rPr>
          <w:rFonts w:hint="eastAsia" w:ascii="宋体" w:hAnsi="宋体" w:cs="宋体"/>
          <w:sz w:val="24"/>
          <w:szCs w:val="24"/>
          <w:highlight w:val="none"/>
          <w:lang w:eastAsia="zh-CN"/>
        </w:rPr>
        <w:t>。</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16:00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并发参审文件至邮件至联系人邮箱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下午16</w:t>
      </w:r>
      <w:r>
        <w:rPr>
          <w:rFonts w:hint="eastAsia" w:ascii="宋体" w:hAnsi="宋体" w:cs="宋体"/>
          <w:color w:val="auto"/>
          <w:sz w:val="24"/>
          <w:szCs w:val="24"/>
          <w:highlight w:val="none"/>
          <w:lang w:val="en-US" w:eastAsia="zh-CN"/>
        </w:rPr>
        <w:t>:00</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highlight w:val="none"/>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徐工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rPr>
          <w:rStyle w:val="21"/>
          <w:rFonts w:hint="eastAsia" w:ascii="宋体" w:hAnsi="宋体" w:eastAsia="宋体" w:cs="宋体"/>
          <w:b/>
          <w:bCs/>
          <w:sz w:val="30"/>
          <w:szCs w:val="30"/>
          <w:highlight w:val="none"/>
          <w:lang w:val="en-US" w:eastAsia="zh-CN"/>
        </w:rPr>
      </w:pPr>
      <w:r>
        <w:rPr>
          <w:rFonts w:hint="eastAsia" w:ascii="宋体" w:hAnsi="宋体" w:cs="宋体"/>
          <w:bCs/>
          <w:sz w:val="24"/>
          <w:szCs w:val="24"/>
          <w:highlight w:val="none"/>
          <w:lang w:val="en-US" w:eastAsia="zh-CN"/>
        </w:rPr>
        <w:br w:type="page"/>
      </w: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b w:val="0"/>
          <w:bCs/>
          <w:color w:val="000000"/>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val="0"/>
          <w:bCs/>
          <w:color w:val="000000"/>
          <w:sz w:val="24"/>
          <w:szCs w:val="24"/>
          <w:highlight w:val="none"/>
          <w:lang w:val="en-US" w:eastAsia="zh-CN"/>
        </w:rPr>
        <w:t>包括但不限于</w:t>
      </w:r>
      <w:r>
        <w:rPr>
          <w:rFonts w:hint="eastAsia" w:ascii="宋体" w:hAnsi="宋体" w:cs="宋体"/>
          <w:sz w:val="24"/>
          <w:szCs w:val="24"/>
          <w:highlight w:val="none"/>
        </w:rPr>
        <w:t>李府粮仓微露营基地项目</w:t>
      </w:r>
      <w:r>
        <w:rPr>
          <w:rFonts w:hint="eastAsia" w:asciiTheme="minorEastAsia" w:hAnsiTheme="minorEastAsia" w:eastAsiaTheme="minorEastAsia" w:cstheme="minorEastAsia"/>
          <w:b w:val="0"/>
          <w:bCs/>
          <w:color w:val="000000"/>
          <w:sz w:val="24"/>
          <w:szCs w:val="24"/>
          <w:highlight w:val="none"/>
          <w:lang w:val="en-US" w:eastAsia="zh-CN"/>
        </w:rPr>
        <w:t>全过程监理。</w:t>
      </w:r>
    </w:p>
    <w:p>
      <w:pPr>
        <w:pageBreakBefore w:val="0"/>
        <w:widowControl w:val="0"/>
        <w:kinsoku/>
        <w:wordWrap/>
        <w:overflowPunct/>
        <w:topLinePunct w:val="0"/>
        <w:bidi w:val="0"/>
        <w:snapToGrid/>
        <w:spacing w:line="360" w:lineRule="auto"/>
        <w:ind w:firstLine="480" w:firstLineChars="200"/>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二、</w:t>
      </w:r>
      <w:r>
        <w:rPr>
          <w:rFonts w:hint="eastAsia" w:asciiTheme="minorEastAsia" w:hAnsiTheme="minorEastAsia" w:eastAsiaTheme="minorEastAsia" w:cstheme="minorEastAsia"/>
          <w:b/>
          <w:bCs w:val="0"/>
          <w:color w:val="000000"/>
          <w:sz w:val="24"/>
          <w:szCs w:val="24"/>
          <w:highlight w:val="none"/>
          <w:lang w:val="en-US" w:eastAsia="zh-CN"/>
        </w:rPr>
        <w:t>服务期限</w:t>
      </w:r>
      <w:r>
        <w:rPr>
          <w:rFonts w:hint="eastAsia" w:asciiTheme="minorEastAsia" w:hAnsiTheme="minorEastAsia" w:eastAsiaTheme="minorEastAsia" w:cstheme="minorEastAsia"/>
          <w:b w:val="0"/>
          <w:bCs/>
          <w:color w:val="00000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lang w:val="en-US" w:eastAsia="zh-CN"/>
        </w:rPr>
        <w:t>计划150天，</w:t>
      </w:r>
      <w:r>
        <w:rPr>
          <w:rFonts w:hint="eastAsia" w:asciiTheme="minorEastAsia" w:hAnsiTheme="minorEastAsia" w:eastAsiaTheme="minorEastAsia" w:cstheme="minorEastAsia"/>
          <w:b w:val="0"/>
          <w:bCs/>
          <w:color w:val="000000"/>
          <w:sz w:val="24"/>
          <w:szCs w:val="24"/>
          <w:highlight w:val="none"/>
          <w:lang w:val="en-US" w:eastAsia="zh-CN"/>
        </w:rPr>
        <w:t>自监理合同签订之日起至项目竣工验收备案、移交、办理工程结算且缺陷责任期满回访合格止（以实际发生时间为准）。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三、付款方式：</w:t>
      </w:r>
      <w:r>
        <w:rPr>
          <w:rFonts w:hint="eastAsia" w:asciiTheme="minorEastAsia" w:hAnsiTheme="minorEastAsia" w:eastAsiaTheme="minorEastAsia" w:cstheme="minorEastAsia"/>
          <w:sz w:val="24"/>
          <w:szCs w:val="24"/>
          <w:highlight w:val="none"/>
          <w:lang w:val="en-US" w:eastAsia="zh-CN"/>
        </w:rPr>
        <w:t>竣工验收合格后支付合同价80%，工程结算审定后支付合同价的100%。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四、参审文件的递交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06</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02</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06</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07</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20"/>
          <w:rFonts w:hint="eastAsia" w:ascii="宋体" w:hAnsi="宋体"/>
          <w:b/>
          <w:bCs w:val="0"/>
          <w:i w:val="0"/>
          <w:caps w:val="0"/>
          <w:color w:val="auto"/>
          <w:spacing w:val="0"/>
          <w:w w:val="100"/>
          <w:kern w:val="0"/>
          <w:sz w:val="24"/>
          <w:szCs w:val="24"/>
          <w:highlight w:val="none"/>
          <w:u w:val="none"/>
          <w:lang w:val="en-US" w:eastAsia="zh-CN" w:bidi="ar-SA"/>
        </w:rPr>
        <w:t>6</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5"/>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hAnsi="宋体" w:cs="宋体"/>
          <w:bCs/>
          <w:sz w:val="24"/>
          <w:szCs w:val="24"/>
          <w:highlight w:val="none"/>
          <w:lang w:val="en-US" w:eastAsia="zh-CN"/>
        </w:rPr>
      </w:pPr>
      <w:r>
        <w:rPr>
          <w:rFonts w:hint="eastAsia" w:hAnsi="宋体" w:cs="宋体"/>
          <w:bCs/>
          <w:sz w:val="24"/>
          <w:szCs w:val="24"/>
          <w:highlight w:val="none"/>
          <w:lang w:val="en-US" w:eastAsia="zh-CN"/>
        </w:rPr>
        <w:t>3、必须同时满足以下三个条件的为预中标人。</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（1）必须低于拦标价；（2）必须最接近且低于所有有效投标价的算术平均值；（3）必须同时有三家及以上有效投标单位参与竞标。</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19045391"/>
      <w:bookmarkStart w:id="8" w:name="_Hlt509738509"/>
      <w:bookmarkStart w:id="9" w:name="_Hlt509738521"/>
    </w:p>
    <w:p>
      <w:pPr>
        <w:jc w:val="center"/>
        <w:rPr>
          <w:rFonts w:hint="eastAsia" w:ascii="宋体" w:hAnsi="宋体" w:cs="宋体"/>
          <w:b/>
          <w:sz w:val="44"/>
          <w:szCs w:val="44"/>
          <w:highlight w:val="none"/>
          <w:lang w:val="en-US" w:eastAsia="zh-CN"/>
        </w:rPr>
      </w:pPr>
      <w:r>
        <w:rPr>
          <w:rFonts w:hint="eastAsia" w:ascii="宋体" w:hAnsi="宋体" w:cs="宋体"/>
          <w:b/>
          <w:sz w:val="44"/>
          <w:szCs w:val="44"/>
          <w:highlight w:val="none"/>
          <w:lang w:val="en-US" w:eastAsia="zh-CN"/>
        </w:rPr>
        <w:t>李府粮仓微露营基地项目监理</w:t>
      </w:r>
    </w:p>
    <w:p>
      <w:pPr>
        <w:pStyle w:val="2"/>
        <w:rPr>
          <w:rFonts w:hint="default"/>
          <w:lang w:val="en-US" w:eastAsia="zh-CN"/>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2"/>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33408916"/>
      <w:bookmarkEnd w:id="10"/>
      <w:bookmarkStart w:id="11" w:name="_Hlt519045798"/>
      <w:bookmarkEnd w:id="11"/>
      <w:bookmarkStart w:id="12" w:name="_Hlt533409360"/>
      <w:bookmarkEnd w:id="12"/>
      <w:bookmarkStart w:id="13" w:name="_Hlt533408409"/>
      <w:bookmarkEnd w:id="13"/>
      <w:bookmarkStart w:id="14" w:name="_Hlt509716873"/>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default" w:ascii="宋体" w:hAnsi="宋体" w:cs="宋体"/>
                <w:bCs/>
                <w:sz w:val="28"/>
                <w:szCs w:val="28"/>
                <w:highlight w:val="none"/>
                <w:u w:val="single"/>
                <w:lang w:val="en-US"/>
              </w:rPr>
            </w:pPr>
            <w:r>
              <w:rPr>
                <w:rFonts w:hint="default" w:ascii="宋体" w:hAnsi="宋体" w:cs="宋体"/>
                <w:bCs/>
                <w:sz w:val="28"/>
                <w:szCs w:val="28"/>
                <w:highlight w:val="none"/>
                <w:u w:val="single"/>
                <w:lang w:val="en-US"/>
              </w:rPr>
              <w:t>李府粮仓微露营基地项目</w:t>
            </w:r>
            <w:r>
              <w:rPr>
                <w:rFonts w:hint="default" w:ascii="宋体" w:hAnsi="宋体" w:cs="宋体"/>
                <w:bCs/>
                <w:sz w:val="28"/>
                <w:szCs w:val="28"/>
                <w:highlight w:val="none"/>
                <w:u w:val="single"/>
                <w:lang w:val="en-US" w:eastAsia="zh-CN"/>
              </w:rPr>
              <w:t>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bookmarkEnd w:id="16"/>
    <w:p>
      <w:pPr>
        <w:pStyle w:val="11"/>
        <w:rPr>
          <w:rFonts w:hint="eastAsia"/>
          <w:highlight w:val="none"/>
          <w:lang w:val="en-US" w:eastAsia="zh-CN"/>
        </w:rPr>
      </w:pPr>
      <w:bookmarkStart w:id="18" w:name="_Toc6245"/>
      <w:bookmarkStart w:id="19" w:name="_Toc19990"/>
      <w:bookmarkStart w:id="20" w:name="_Toc500337339"/>
    </w:p>
    <w:p>
      <w:pPr>
        <w:pStyle w:val="2"/>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8"/>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084"/>
      <w:bookmarkStart w:id="22" w:name="_Toc535241130"/>
      <w:bookmarkStart w:id="23" w:name="_Toc535241227"/>
      <w:bookmarkStart w:id="24" w:name="_Toc224103497"/>
      <w:bookmarkStart w:id="25" w:name="_Toc224103498"/>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2"/>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7"/>
        <w:rPr>
          <w:rFonts w:hint="eastAsia"/>
          <w:highlight w:val="none"/>
          <w:lang w:val="en-US" w:eastAsia="zh-CN"/>
        </w:rPr>
      </w:pPr>
    </w:p>
    <w:p>
      <w:pPr>
        <w:pStyle w:val="2"/>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8"/>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cs="宋体"/>
          <w:sz w:val="24"/>
          <w:szCs w:val="24"/>
          <w:highlight w:val="none"/>
        </w:rPr>
        <w:t>“</w:t>
      </w:r>
      <w:r>
        <w:rPr>
          <w:rFonts w:hint="eastAsia" w:ascii="宋体" w:hAnsi="宋体" w:cs="宋体"/>
          <w:sz w:val="24"/>
          <w:szCs w:val="24"/>
          <w:highlight w:val="none"/>
          <w:u w:val="none"/>
        </w:rPr>
        <w:t xml:space="preserve"> </w:t>
      </w:r>
      <w:r>
        <w:rPr>
          <w:rFonts w:hint="eastAsia" w:ascii="宋体" w:hAnsi="宋体" w:cs="宋体"/>
          <w:sz w:val="24"/>
          <w:szCs w:val="24"/>
          <w:highlight w:val="none"/>
          <w:u w:val="single"/>
        </w:rPr>
        <w:t>李府粮仓微露营基地项目</w:t>
      </w:r>
      <w:r>
        <w:rPr>
          <w:rFonts w:hint="eastAsia" w:ascii="宋体" w:hAnsi="宋体" w:cs="宋体"/>
          <w:sz w:val="24"/>
          <w:szCs w:val="24"/>
          <w:highlight w:val="none"/>
          <w:u w:val="single"/>
          <w:lang w:val="en-US" w:eastAsia="zh-CN"/>
        </w:rPr>
        <w:t>监理</w:t>
      </w:r>
      <w:r>
        <w:rPr>
          <w:rFonts w:hint="eastAsia" w:ascii="宋体" w:hAnsi="宋体" w:cs="宋体"/>
          <w:sz w:val="24"/>
          <w:szCs w:val="24"/>
          <w:highlight w:val="none"/>
          <w:u w:val="none"/>
        </w:rPr>
        <w:t>”</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2"/>
        <w:spacing w:before="120" w:beforeLines="0" w:after="120" w:afterLines="0" w:line="360" w:lineRule="auto"/>
        <w:rPr>
          <w:rFonts w:hint="eastAsia" w:hAnsi="宋体" w:cs="宋体"/>
          <w:sz w:val="28"/>
          <w:szCs w:val="28"/>
          <w:highlight w:val="none"/>
        </w:rPr>
      </w:pPr>
      <w:bookmarkStart w:id="26" w:name="_Hlt533408944"/>
      <w:bookmarkEnd w:id="26"/>
      <w:bookmarkStart w:id="27" w:name="_Hlt51449572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19826"/>
      <w:bookmarkStart w:id="30" w:name="_Toc500337343"/>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516969105"/>
      <w:bookmarkStart w:id="32" w:name="_Toc26965"/>
      <w:bookmarkStart w:id="33" w:name="_Toc220232402"/>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317511"/>
      <w:bookmarkStart w:id="35" w:name="_Toc396122185"/>
      <w:bookmarkStart w:id="36" w:name="_Toc500337346"/>
      <w:bookmarkStart w:id="37" w:name="_Toc17338"/>
      <w:bookmarkStart w:id="38" w:name="_Toc220232403"/>
    </w:p>
    <w:p>
      <w:pPr>
        <w:pStyle w:val="2"/>
        <w:rPr>
          <w:rFonts w:hint="eastAsia" w:hAnsi="宋体" w:cs="宋体"/>
          <w:sz w:val="28"/>
          <w:szCs w:val="28"/>
          <w:highlight w:val="none"/>
          <w:lang w:val="en-US" w:eastAsia="zh-CN"/>
        </w:rPr>
      </w:pPr>
    </w:p>
    <w:p>
      <w:pPr>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MmIzMmU4ZTY1ZGUzNjcxMjgwNTRjOWI4MDdlYTEifQ=="/>
  </w:docVars>
  <w:rsids>
    <w:rsidRoot w:val="00000000"/>
    <w:rsid w:val="001B3A0B"/>
    <w:rsid w:val="009B7CF9"/>
    <w:rsid w:val="03D177E1"/>
    <w:rsid w:val="04526E7B"/>
    <w:rsid w:val="081952B3"/>
    <w:rsid w:val="099F10DB"/>
    <w:rsid w:val="0E033F7A"/>
    <w:rsid w:val="0E4775D9"/>
    <w:rsid w:val="0EE91E83"/>
    <w:rsid w:val="135056C8"/>
    <w:rsid w:val="13C47160"/>
    <w:rsid w:val="140C4DDD"/>
    <w:rsid w:val="146E4BD8"/>
    <w:rsid w:val="158F4327"/>
    <w:rsid w:val="175054C9"/>
    <w:rsid w:val="182C1032"/>
    <w:rsid w:val="1B841D1D"/>
    <w:rsid w:val="1BF22A8E"/>
    <w:rsid w:val="1CDD28FB"/>
    <w:rsid w:val="23A62190"/>
    <w:rsid w:val="23E028CC"/>
    <w:rsid w:val="26356BAE"/>
    <w:rsid w:val="290D27BA"/>
    <w:rsid w:val="292559B5"/>
    <w:rsid w:val="2BB71AA6"/>
    <w:rsid w:val="2CCB7038"/>
    <w:rsid w:val="2D3A48A4"/>
    <w:rsid w:val="30DE4562"/>
    <w:rsid w:val="39AB1468"/>
    <w:rsid w:val="3A587E8F"/>
    <w:rsid w:val="3C72614E"/>
    <w:rsid w:val="3E1901BE"/>
    <w:rsid w:val="403C5749"/>
    <w:rsid w:val="4374368A"/>
    <w:rsid w:val="43CC6D08"/>
    <w:rsid w:val="449E1DC3"/>
    <w:rsid w:val="47C040BF"/>
    <w:rsid w:val="48044450"/>
    <w:rsid w:val="48536283"/>
    <w:rsid w:val="48811DCD"/>
    <w:rsid w:val="4A2000F0"/>
    <w:rsid w:val="4A7D1684"/>
    <w:rsid w:val="4C113543"/>
    <w:rsid w:val="4DD50B0D"/>
    <w:rsid w:val="4EB85956"/>
    <w:rsid w:val="54A70F6B"/>
    <w:rsid w:val="567F608E"/>
    <w:rsid w:val="57D87E20"/>
    <w:rsid w:val="5C0629E9"/>
    <w:rsid w:val="5CFE5FDA"/>
    <w:rsid w:val="60A14592"/>
    <w:rsid w:val="64A5505E"/>
    <w:rsid w:val="6597619F"/>
    <w:rsid w:val="6608232F"/>
    <w:rsid w:val="66EF67B7"/>
    <w:rsid w:val="68816AA3"/>
    <w:rsid w:val="6D147674"/>
    <w:rsid w:val="6D9A2DFC"/>
    <w:rsid w:val="7135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2">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5">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rPr>
      <w:rFonts w:ascii="宋体" w:hAnsi="Arial"/>
      <w:sz w:val="28"/>
    </w:rPr>
  </w:style>
  <w:style w:type="paragraph" w:styleId="8">
    <w:name w:val="Date"/>
    <w:basedOn w:val="1"/>
    <w:next w:val="1"/>
    <w:qFormat/>
    <w:uiPriority w:val="0"/>
    <w:rPr>
      <w:b/>
      <w:kern w:val="2"/>
      <w:sz w:val="28"/>
    </w:rPr>
  </w:style>
  <w:style w:type="paragraph" w:styleId="9">
    <w:name w:val="Body Text Indent"/>
    <w:basedOn w:val="1"/>
    <w:next w:val="10"/>
    <w:qFormat/>
    <w:uiPriority w:val="0"/>
    <w:pPr>
      <w:ind w:firstLine="645"/>
    </w:pPr>
    <w:rPr>
      <w:rFonts w:ascii="楷体_GB2312" w:eastAsia="楷体_GB2312"/>
      <w:kern w:val="2"/>
      <w:sz w:val="32"/>
      <w:lang w:val="en-US" w:eastAsia="zh-CN" w:bidi="ar-SA"/>
    </w:rPr>
  </w:style>
  <w:style w:type="paragraph" w:styleId="10">
    <w:name w:val="envelope return"/>
    <w:basedOn w:val="1"/>
    <w:qFormat/>
    <w:uiPriority w:val="0"/>
    <w:pPr>
      <w:snapToGrid w:val="0"/>
    </w:pPr>
    <w:rPr>
      <w:rFonts w:ascii="Arial" w:hAnsi="Arial"/>
    </w:rPr>
  </w:style>
  <w:style w:type="paragraph" w:styleId="11">
    <w:name w:val="Body Text Indent 2"/>
    <w:basedOn w:val="1"/>
    <w:qFormat/>
    <w:uiPriority w:val="0"/>
    <w:pPr>
      <w:spacing w:line="360" w:lineRule="exact"/>
      <w:ind w:firstLine="600" w:firstLineChars="250"/>
      <w:jc w:val="left"/>
    </w:pPr>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9"/>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4344</Words>
  <Characters>4533</Characters>
  <Lines>0</Lines>
  <Paragraphs>0</Paragraphs>
  <TotalTime>4</TotalTime>
  <ScaleCrop>false</ScaleCrop>
  <LinksUpToDate>false</LinksUpToDate>
  <CharactersWithSpaces>5404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植物要吃肉</cp:lastModifiedBy>
  <dcterms:modified xsi:type="dcterms:W3CDTF">2023-06-02T10:02:59Z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4B9BA53D5EEE47A69B36951B30DB7629_13</vt:lpwstr>
  </property>
</Properties>
</file>